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-422275</wp:posOffset>
            </wp:positionV>
            <wp:extent cx="857885" cy="299720"/>
            <wp:effectExtent l="0" t="0" r="0" b="50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92" cy="2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英国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伦敦政治经济学院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学年访学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L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ondon School of Economics and Political Sciences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The 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G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eneral Course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</w:t>
      </w:r>
      <w:r>
        <w:rPr>
          <w:rFonts w:hint="eastAsia" w:cs="Calibri" w:asciiTheme="minorHAnsi" w:hAnsiTheme="minorHAnsi"/>
          <w:kern w:val="0"/>
          <w:szCs w:val="21"/>
        </w:rPr>
        <w:t>24</w:t>
      </w:r>
      <w:r>
        <w:rPr>
          <w:rFonts w:cs="Calibri" w:asciiTheme="minorHAnsi" w:hAnsiTheme="minorHAnsi"/>
          <w:kern w:val="0"/>
          <w:szCs w:val="21"/>
        </w:rPr>
        <w:t>-202</w:t>
      </w:r>
      <w:r>
        <w:rPr>
          <w:rFonts w:hint="eastAsia" w:cs="Calibri" w:asciiTheme="minorHAnsi" w:hAnsiTheme="minorHAnsi"/>
          <w:kern w:val="0"/>
          <w:szCs w:val="21"/>
        </w:rPr>
        <w:t>5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rPr>
          <w:rFonts w:cs="Calibri" w:asciiTheme="minorHAnsi" w:hAnsiTheme="minorHAnsi"/>
          <w:b/>
          <w:kern w:val="0"/>
          <w:szCs w:val="21"/>
        </w:rPr>
      </w:pPr>
      <w:r>
        <w:rPr>
          <w:rFonts w:hint="eastAsia" w:cs="Calibri" w:asciiTheme="minorHAnsi" w:hAnsiTheme="minorHAnsi"/>
          <w:b/>
          <w:kern w:val="0"/>
          <w:szCs w:val="21"/>
        </w:rPr>
        <w:t>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伦敦政治经济学院（</w:t>
      </w:r>
      <w:r>
        <w:rPr>
          <w:rFonts w:hint="eastAsia" w:cs="Calibri" w:asciiTheme="minorHAnsi" w:hAnsiTheme="minorHAnsi"/>
          <w:kern w:val="0"/>
          <w:szCs w:val="21"/>
        </w:rPr>
        <w:t>London School of Economics and Political Science, 简称LSE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）</w:t>
      </w:r>
      <w:r>
        <w:rPr>
          <w:rFonts w:hint="eastAsia" w:asciiTheme="minorHAnsi" w:hAnsiTheme="minorHAnsi" w:eastAsiaTheme="majorEastAsia" w:cstheme="minorHAnsi"/>
          <w:szCs w:val="21"/>
        </w:rPr>
        <w:t>的学年访学项目（the General Course）最早始于1910年，至今已拥有超过百年的悠久历史。与常规学期访学项目不同，LSE只向国际访学生提供一整学年的访学项目，通常从当年9月一直延续至次年6月，希望学生能够获得最大化的学术收获与生活体验。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全美国际教育协会作为L</w:t>
      </w:r>
      <w:r>
        <w:rPr>
          <w:rFonts w:asciiTheme="minorHAnsi" w:hAnsiTheme="minorHAnsi" w:eastAsiaTheme="majorEastAsia" w:cstheme="minorHAnsi"/>
          <w:kern w:val="0"/>
          <w:szCs w:val="21"/>
        </w:rPr>
        <w:t>SE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在中国的正式授权机构，负责选拔优秀中国大学生，于2024年秋季前往L</w:t>
      </w:r>
      <w:r>
        <w:rPr>
          <w:rFonts w:asciiTheme="minorHAnsi" w:hAnsiTheme="minorHAnsi" w:eastAsiaTheme="majorEastAsia" w:cstheme="minorHAnsi"/>
          <w:kern w:val="0"/>
          <w:szCs w:val="21"/>
        </w:rPr>
        <w:t>SE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参加为期一学年的专业学习项目。学生将与其他国际学生一起参与专业课程的学习</w:t>
      </w:r>
      <w:r>
        <w:rPr>
          <w:rFonts w:hint="eastAsia" w:asciiTheme="minorHAnsi" w:hAnsiTheme="minorHAnsi" w:eastAsiaTheme="majorEastAsia" w:cstheme="minorHAnsi"/>
          <w:szCs w:val="21"/>
        </w:rPr>
        <w:t>，充分体验L</w:t>
      </w:r>
      <w:r>
        <w:rPr>
          <w:rFonts w:asciiTheme="minorHAnsi" w:hAnsiTheme="minorHAnsi" w:eastAsiaTheme="majorEastAsia" w:cstheme="minorHAnsi"/>
          <w:szCs w:val="21"/>
        </w:rPr>
        <w:t>SE</w:t>
      </w:r>
      <w:r>
        <w:rPr>
          <w:rFonts w:hint="eastAsia" w:asciiTheme="minorHAnsi" w:hAnsiTheme="minorHAnsi" w:eastAsiaTheme="majorEastAsia" w:cstheme="minorHAnsi"/>
          <w:szCs w:val="21"/>
        </w:rPr>
        <w:t>严谨的学术氛围，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有效提升自身的英语技能以及学术水平。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二、 </w:t>
      </w:r>
      <w:r>
        <w:rPr>
          <w:rFonts w:hint="eastAsia" w:cs="Calibri" w:asciiTheme="minorHAnsi" w:hAnsiTheme="minorHAnsi"/>
          <w:b/>
          <w:szCs w:val="21"/>
        </w:rPr>
        <w:t>伦敦政治经济学院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创建于</w:t>
      </w:r>
      <w:r>
        <w:rPr>
          <w:rFonts w:hint="eastAsia" w:cs="Calibri" w:asciiTheme="minorHAnsi" w:hAnsiTheme="minorHAnsi"/>
          <w:szCs w:val="21"/>
        </w:rPr>
        <w:t>1895年，</w:t>
      </w:r>
      <w:r>
        <w:rPr>
          <w:rFonts w:cs="Calibri" w:asciiTheme="minorHAnsi" w:hAnsiTheme="minorHAnsi"/>
          <w:szCs w:val="21"/>
        </w:rPr>
        <w:t>与</w:t>
      </w:r>
      <w:r>
        <w:rPr>
          <w:rFonts w:cs="Calibri" w:asciiTheme="minorHAnsi" w:hAnsiTheme="minorHAnsi"/>
        </w:rPr>
        <w:t>牛津大学</w:t>
      </w:r>
      <w:r>
        <w:rPr>
          <w:rFonts w:cs="Calibri" w:asciiTheme="minorHAnsi" w:hAnsiTheme="minorHAnsi"/>
          <w:szCs w:val="21"/>
        </w:rPr>
        <w:t>、</w:t>
      </w:r>
      <w:r>
        <w:rPr>
          <w:rFonts w:cs="Calibri" w:asciiTheme="minorHAnsi" w:hAnsiTheme="minorHAnsi"/>
        </w:rPr>
        <w:t>剑桥大学</w:t>
      </w:r>
      <w:r>
        <w:rPr>
          <w:rFonts w:cs="Calibri" w:asciiTheme="minorHAnsi" w:hAnsiTheme="minorHAnsi"/>
          <w:szCs w:val="21"/>
        </w:rPr>
        <w:t>、</w:t>
      </w:r>
      <w:r>
        <w:rPr>
          <w:rFonts w:cs="Calibri" w:asciiTheme="minorHAnsi" w:hAnsiTheme="minorHAnsi"/>
        </w:rPr>
        <w:t>伦敦大学学院</w:t>
      </w:r>
      <w:r>
        <w:rPr>
          <w:rFonts w:cs="Calibri" w:asciiTheme="minorHAnsi" w:hAnsiTheme="minorHAnsi"/>
          <w:szCs w:val="21"/>
        </w:rPr>
        <w:t>、</w:t>
      </w:r>
      <w:r>
        <w:rPr>
          <w:rFonts w:cs="Calibri" w:asciiTheme="minorHAnsi" w:hAnsiTheme="minorHAnsi"/>
        </w:rPr>
        <w:t>帝国理工学院</w:t>
      </w:r>
      <w:r>
        <w:rPr>
          <w:rFonts w:cs="Calibri" w:asciiTheme="minorHAnsi" w:hAnsiTheme="minorHAnsi"/>
          <w:szCs w:val="21"/>
        </w:rPr>
        <w:t>并称“</w:t>
      </w:r>
      <w:r>
        <w:rPr>
          <w:rFonts w:cs="Calibri" w:asciiTheme="minorHAnsi" w:hAnsiTheme="minorHAnsi"/>
        </w:rPr>
        <w:t>G5</w:t>
      </w:r>
      <w:r>
        <w:rPr>
          <w:rFonts w:cs="Calibri" w:asciiTheme="minorHAnsi" w:hAnsiTheme="minorHAnsi"/>
          <w:szCs w:val="21"/>
        </w:rPr>
        <w:t>超级精英大学”，也是英国</w:t>
      </w:r>
      <w:r>
        <w:rPr>
          <w:rFonts w:cs="Calibri" w:asciiTheme="minorHAnsi" w:hAnsiTheme="minorHAnsi"/>
        </w:rPr>
        <w:t>金三角名校</w:t>
      </w:r>
      <w:r>
        <w:rPr>
          <w:rFonts w:cs="Calibri" w:asciiTheme="minorHAnsi" w:hAnsiTheme="minorHAnsi"/>
          <w:szCs w:val="21"/>
        </w:rPr>
        <w:t>和</w:t>
      </w:r>
      <w:r>
        <w:rPr>
          <w:rFonts w:cs="Calibri" w:asciiTheme="minorHAnsi" w:hAnsiTheme="minorHAnsi"/>
        </w:rPr>
        <w:t>罗素大学集团</w:t>
      </w:r>
      <w:r>
        <w:rPr>
          <w:rFonts w:cs="Calibri" w:asciiTheme="minorHAnsi" w:hAnsiTheme="minorHAnsi"/>
          <w:szCs w:val="21"/>
        </w:rPr>
        <w:t>成员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2024年QS世界大学排名45；202</w:t>
      </w:r>
      <w:r>
        <w:rPr>
          <w:rFonts w:cs="Calibri" w:asciiTheme="minorHAnsi" w:hAnsiTheme="minorHAnsi"/>
          <w:szCs w:val="21"/>
        </w:rPr>
        <w:t>4</w:t>
      </w:r>
      <w:r>
        <w:rPr>
          <w:rFonts w:hint="eastAsia" w:cs="Calibri" w:asciiTheme="minorHAnsi" w:hAnsiTheme="minorHAnsi"/>
          <w:szCs w:val="21"/>
        </w:rPr>
        <w:t>年Times世界大学综合排名第</w:t>
      </w:r>
      <w:r>
        <w:rPr>
          <w:rFonts w:cs="Calibri" w:asciiTheme="minorHAnsi" w:hAnsiTheme="minorHAnsi"/>
          <w:szCs w:val="21"/>
        </w:rPr>
        <w:t>46</w:t>
      </w:r>
      <w:r>
        <w:rPr>
          <w:rFonts w:hint="eastAsia" w:cs="Calibri" w:asciiTheme="minorHAnsi" w:hAnsiTheme="minorHAnsi"/>
          <w:szCs w:val="21"/>
        </w:rPr>
        <w:t>位；社会科学领域享誉世界，常年位</w:t>
      </w:r>
      <w:r>
        <w:rPr>
          <w:rFonts w:cs="Calibri" w:asciiTheme="minorHAnsi" w:hAnsiTheme="minorHAnsi"/>
          <w:szCs w:val="21"/>
        </w:rPr>
        <w:t>居欧洲第</w:t>
      </w:r>
      <w:r>
        <w:rPr>
          <w:rFonts w:hint="eastAsia" w:cs="Calibri" w:asciiTheme="minorHAnsi" w:hAnsiTheme="minorHAnsi"/>
          <w:szCs w:val="21"/>
        </w:rPr>
        <w:t>1；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下设25个学术科系与</w:t>
      </w:r>
      <w:r>
        <w:rPr>
          <w:rFonts w:hint="eastAsia" w:asciiTheme="minorHAnsi" w:hAnsiTheme="minorHAnsi" w:eastAsiaTheme="majorEastAsia" w:cstheme="minorHAnsi"/>
          <w:szCs w:val="21"/>
        </w:rPr>
        <w:t>23个研究中心，</w:t>
      </w:r>
      <w:r>
        <w:rPr>
          <w:rFonts w:cs="Calibri" w:asciiTheme="minorHAnsi" w:hAnsiTheme="minorHAnsi"/>
          <w:szCs w:val="21"/>
        </w:rPr>
        <w:t>优势学科包括社会科学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cs="Calibri" w:asciiTheme="minorHAnsi" w:hAnsiTheme="minorHAnsi"/>
          <w:szCs w:val="21"/>
        </w:rPr>
        <w:t>管理学</w:t>
      </w:r>
      <w:r>
        <w:rPr>
          <w:rFonts w:hint="eastAsia" w:cs="Calibri" w:asciiTheme="minorHAnsi" w:hAnsiTheme="minorHAnsi"/>
          <w:szCs w:val="21"/>
        </w:rPr>
        <w:t>、金融、商科、</w:t>
      </w:r>
      <w:r>
        <w:rPr>
          <w:rFonts w:cs="Calibri" w:asciiTheme="minorHAnsi" w:hAnsiTheme="minorHAnsi"/>
          <w:szCs w:val="21"/>
        </w:rPr>
        <w:t>经济学等</w:t>
      </w:r>
      <w:r>
        <w:rPr>
          <w:rFonts w:hint="eastAsia" w:cs="Calibri" w:asciiTheme="minorHAnsi" w:hAnsiTheme="minorHAnsi"/>
          <w:szCs w:val="21"/>
        </w:rPr>
        <w:t>，</w:t>
      </w:r>
      <w:r>
        <w:rPr>
          <w:rFonts w:cs="Calibri" w:asciiTheme="minorHAnsi" w:hAnsiTheme="minorHAnsi"/>
          <w:szCs w:val="21"/>
        </w:rPr>
        <w:t>校友及教员之中包括18名诺贝尔奖得奖者</w:t>
      </w:r>
      <w:r>
        <w:rPr>
          <w:rFonts w:hint="eastAsia" w:cs="Calibri" w:asciiTheme="minorHAnsi" w:hAnsiTheme="minorHAnsi"/>
          <w:szCs w:val="21"/>
        </w:rPr>
        <w:t>与</w:t>
      </w:r>
      <w:r>
        <w:rPr>
          <w:rFonts w:cs="Calibri" w:asciiTheme="minorHAnsi" w:hAnsiTheme="minorHAnsi"/>
          <w:szCs w:val="21"/>
        </w:rPr>
        <w:t>3</w:t>
      </w:r>
      <w:r>
        <w:rPr>
          <w:rFonts w:hint="eastAsia" w:cs="Calibri" w:asciiTheme="minorHAnsi" w:hAnsiTheme="minorHAnsi"/>
          <w:szCs w:val="21"/>
        </w:rPr>
        <w:t>7</w:t>
      </w:r>
      <w:r>
        <w:rPr>
          <w:rFonts w:cs="Calibri" w:asciiTheme="minorHAnsi" w:hAnsiTheme="minorHAnsi"/>
          <w:szCs w:val="21"/>
        </w:rPr>
        <w:t>名政府或国家元首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学校</w:t>
      </w:r>
      <w:r>
        <w:rPr>
          <w:rFonts w:asciiTheme="minorHAnsi" w:hAnsiTheme="minorHAnsi" w:cstheme="minorHAnsi"/>
          <w:kern w:val="0"/>
          <w:szCs w:val="21"/>
        </w:rPr>
        <w:t>位</w:t>
      </w:r>
      <w:r>
        <w:rPr>
          <w:rFonts w:cs="Calibri" w:asciiTheme="minorHAnsi" w:hAnsiTheme="minorHAnsi"/>
          <w:szCs w:val="21"/>
        </w:rPr>
        <w:t>于英国首都伦敦市中心，地理位置优越</w:t>
      </w:r>
      <w:r>
        <w:rPr>
          <w:rFonts w:hint="eastAsia" w:cs="Calibri" w:asciiTheme="minorHAnsi" w:hAnsiTheme="minorHAnsi"/>
          <w:szCs w:val="21"/>
        </w:rPr>
        <w:t>，</w:t>
      </w:r>
      <w:r>
        <w:rPr>
          <w:rFonts w:cs="Calibri" w:asciiTheme="minorHAnsi" w:hAnsiTheme="minorHAnsi"/>
          <w:szCs w:val="21"/>
        </w:rPr>
        <w:t>比邻</w:t>
      </w:r>
      <w:r>
        <w:rPr>
          <w:rFonts w:hint="eastAsia" w:cs="Calibri" w:asciiTheme="minorHAnsi" w:hAnsiTheme="minorHAnsi"/>
          <w:szCs w:val="21"/>
        </w:rPr>
        <w:t>国会</w:t>
      </w:r>
      <w:r>
        <w:rPr>
          <w:rFonts w:cs="Calibri" w:asciiTheme="minorHAnsi" w:hAnsiTheme="minorHAnsi"/>
          <w:szCs w:val="21"/>
        </w:rPr>
        <w:t>大厦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cs="Calibri" w:asciiTheme="minorHAnsi" w:hAnsiTheme="minorHAnsi"/>
          <w:szCs w:val="21"/>
        </w:rPr>
        <w:t>大英博物馆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cs="Calibri" w:asciiTheme="minorHAnsi" w:hAnsiTheme="minorHAnsi"/>
          <w:szCs w:val="21"/>
        </w:rPr>
        <w:t>特拉法加广场等地标建筑。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三、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t>20</w:t>
      </w:r>
      <w:r>
        <w:rPr>
          <w:rFonts w:hint="eastAsia" w:asciiTheme="minorHAnsi" w:hAnsiTheme="minorHAnsi" w:eastAsiaTheme="majorEastAsia" w:cstheme="minorHAnsi"/>
          <w:b/>
          <w:szCs w:val="21"/>
        </w:rPr>
        <w:t>24</w:t>
      </w:r>
      <w:r>
        <w:rPr>
          <w:rFonts w:asciiTheme="minorHAnsi" w:hAnsiTheme="minorHAnsi" w:eastAsiaTheme="majorEastAsia" w:cstheme="minorHAnsi"/>
          <w:b/>
          <w:szCs w:val="21"/>
        </w:rPr>
        <w:t>年</w:t>
      </w:r>
      <w:r>
        <w:rPr>
          <w:rFonts w:hint="eastAsia" w:asciiTheme="minorHAnsi" w:hAnsiTheme="minorHAnsi" w:eastAsiaTheme="majorEastAsia" w:cstheme="minorHAnsi"/>
          <w:b/>
          <w:szCs w:val="21"/>
        </w:rPr>
        <w:t>9月</w:t>
      </w:r>
      <w:r>
        <w:rPr>
          <w:rFonts w:hint="default" w:asciiTheme="minorHAnsi" w:hAnsiTheme="minorHAnsi" w:eastAsiaTheme="majorEastAsia" w:cstheme="minorHAnsi"/>
          <w:b/>
          <w:szCs w:val="21"/>
        </w:rPr>
        <w:t>30日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-</w:t>
      </w:r>
      <w:r>
        <w:rPr>
          <w:rFonts w:asciiTheme="minorHAnsi" w:hAnsiTheme="minorHAnsi" w:eastAsiaTheme="majorEastAsia" w:cstheme="minorHAnsi"/>
          <w:b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</w:rPr>
        <w:t>2025年6月</w:t>
      </w:r>
      <w:r>
        <w:rPr>
          <w:rFonts w:hint="default" w:asciiTheme="minorHAnsi" w:hAnsiTheme="minorHAnsi" w:eastAsiaTheme="majorEastAsia" w:cstheme="minorHAnsi"/>
          <w:b/>
          <w:szCs w:val="21"/>
        </w:rPr>
        <w:t>20日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Theme="minorHAnsi" w:hAnsiTheme="minorHAnsi" w:eastAsiaTheme="majorEastAsia" w:cstheme="minorHAnsi"/>
          <w:b/>
          <w:szCs w:val="21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LSE的学年访学项目由三个学期组成，分别是秋季学期（9月至次年1月），春季学期为（1月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4月），以及夏季学期（5月- 6月）。授课通常集中在秋季学期和春季学期，考试则通常安排在1月的第一周以及夏季学期。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课程选择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LSE的学年访学项目提供3</w:t>
      </w:r>
      <w:r>
        <w:rPr>
          <w:rFonts w:asciiTheme="minorHAnsi" w:hAnsiTheme="minorHAnsi" w:eastAsiaTheme="majorEastAsia" w:cstheme="minorHAnsi"/>
          <w:szCs w:val="21"/>
        </w:rPr>
        <w:t>2</w:t>
      </w:r>
      <w:r>
        <w:rPr>
          <w:rFonts w:hint="eastAsia" w:asciiTheme="minorHAnsi" w:hAnsiTheme="minorHAnsi" w:eastAsiaTheme="majorEastAsia" w:cstheme="minorHAnsi"/>
          <w:szCs w:val="21"/>
        </w:rPr>
        <w:t>0多门本科课程可供学生选择，覆盖了</w:t>
      </w:r>
      <w:r>
        <w:rPr>
          <w:rFonts w:asciiTheme="minorHAnsi" w:hAnsiTheme="minorHAnsi" w:eastAsiaTheme="majorEastAsia" w:cstheme="minorHAnsi"/>
          <w:szCs w:val="21"/>
        </w:rPr>
        <w:t>20</w:t>
      </w:r>
      <w:r>
        <w:rPr>
          <w:rFonts w:hint="eastAsia" w:asciiTheme="minorHAnsi" w:hAnsiTheme="minorHAnsi" w:eastAsiaTheme="majorEastAsia" w:cstheme="minorHAnsi"/>
          <w:szCs w:val="21"/>
        </w:rPr>
        <w:t>个学科专业，包括会计、经济学、经济史、金融、政府、国际史、国际关系、地理与环境、人类学、语言研究、欧洲研究、法律、管理学、数学、数据科学、哲学、社会政策、社会学、心理学与行为科学、统计学等。目前LSE共下设16个提供本科学位的院系，参加项目的学生会被其中的一个院系录取，该院系将负责为学生安排学术顾问，为学生提供定期的学术、日常事务与个性化支持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   参加LSE学年项目的学生，通常选择四门专业课程，其中学生必须选择至少一门录取院系开设的课程（经济学系要求必须选择两门）。除此之外，学生所在院系对选课没有特别限制，学生可选择满足学术先修要求的、其它院系提供的本科课程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LSE的本科课程由浅至深分为三种级别，课程编号为</w:t>
      </w:r>
      <w:r>
        <w:rPr>
          <w:rFonts w:asciiTheme="minorHAnsi" w:hAnsiTheme="minorHAnsi" w:eastAsiaTheme="majorEastAsia" w:cstheme="minorHAnsi"/>
          <w:szCs w:val="21"/>
        </w:rPr>
        <w:t>100</w:t>
      </w:r>
      <w:r>
        <w:rPr>
          <w:rFonts w:hint="eastAsia" w:asciiTheme="minorHAnsi" w:hAnsiTheme="minorHAnsi" w:eastAsiaTheme="majorEastAsia" w:cstheme="minorHAnsi"/>
          <w:szCs w:val="21"/>
        </w:rPr>
        <w:t>级、</w:t>
      </w:r>
      <w:r>
        <w:rPr>
          <w:rFonts w:asciiTheme="minorHAnsi" w:hAnsiTheme="minorHAnsi" w:eastAsiaTheme="majorEastAsia" w:cstheme="minorHAnsi"/>
          <w:szCs w:val="21"/>
        </w:rPr>
        <w:t>200</w:t>
      </w:r>
      <w:r>
        <w:rPr>
          <w:rFonts w:hint="eastAsia" w:asciiTheme="minorHAnsi" w:hAnsiTheme="minorHAnsi" w:eastAsiaTheme="majorEastAsia" w:cstheme="minorHAnsi"/>
          <w:szCs w:val="21"/>
        </w:rPr>
        <w:t>级或</w:t>
      </w:r>
      <w:r>
        <w:rPr>
          <w:rFonts w:asciiTheme="minorHAnsi" w:hAnsiTheme="minorHAnsi" w:eastAsiaTheme="majorEastAsia" w:cstheme="minorHAnsi"/>
          <w:szCs w:val="21"/>
        </w:rPr>
        <w:t>300</w:t>
      </w:r>
      <w:r>
        <w:rPr>
          <w:rFonts w:hint="eastAsia" w:asciiTheme="minorHAnsi" w:hAnsiTheme="minorHAnsi" w:eastAsiaTheme="majorEastAsia" w:cstheme="minorHAnsi"/>
          <w:szCs w:val="21"/>
        </w:rPr>
        <w:t>级，选择</w:t>
      </w:r>
      <w:r>
        <w:rPr>
          <w:rFonts w:asciiTheme="minorHAnsi" w:hAnsiTheme="minorHAnsi" w:eastAsiaTheme="majorEastAsia" w:cstheme="minorHAnsi"/>
          <w:szCs w:val="21"/>
        </w:rPr>
        <w:t>200</w:t>
      </w:r>
      <w:r>
        <w:rPr>
          <w:rFonts w:hint="eastAsia" w:asciiTheme="minorHAnsi" w:hAnsiTheme="minorHAnsi" w:eastAsiaTheme="majorEastAsia" w:cstheme="minorHAnsi"/>
          <w:szCs w:val="21"/>
        </w:rPr>
        <w:t>和</w:t>
      </w:r>
      <w:r>
        <w:rPr>
          <w:rFonts w:asciiTheme="minorHAnsi" w:hAnsiTheme="minorHAnsi" w:eastAsiaTheme="majorEastAsia" w:cstheme="minorHAnsi"/>
          <w:szCs w:val="21"/>
        </w:rPr>
        <w:t>300</w:t>
      </w:r>
      <w:r>
        <w:rPr>
          <w:rFonts w:hint="eastAsia" w:asciiTheme="minorHAnsi" w:hAnsiTheme="minorHAnsi" w:eastAsiaTheme="majorEastAsia" w:cstheme="minorHAnsi"/>
          <w:szCs w:val="21"/>
        </w:rPr>
        <w:t>级别的课程通常要求学生在国内大学已经修读过相关专业课程：</w:t>
      </w:r>
      <w:r>
        <w:rPr>
          <w:rFonts w:asciiTheme="minorHAnsi" w:hAnsiTheme="minorHAnsi" w:eastAsiaTheme="majorEastAsia" w:cstheme="minorHAnsi"/>
          <w:szCs w:val="21"/>
        </w:rPr>
        <w:t xml:space="preserve">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306"/>
        <w:gridCol w:w="2677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100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级别课程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200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级别课程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300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级别课程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课程难度描述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基础入门课程，不需要具备相关专业的本科学习经历，但可能会要求有数学或其它相关专业的知识。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中级课程，相当于美国大学的大三课程。学生需要学过相关专业的入门课程或相近学科的课程。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高级课程，相当于美国大学的大四或研究生课程。学生需要学过相关专业的中级课程。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有部分课程需要学生在9月入校后征得课程协调人的同意方可选择；有少量课程不对学年访学学生开放；另有一些院系对部分课程注册人数有上限规定。详情和选修课程的具体要求，可参考</w:t>
      </w:r>
      <w:r>
        <w:fldChar w:fldCharType="begin"/>
      </w:r>
      <w:r>
        <w:instrText xml:space="preserve"> HYPERLINK "http://www.lse.ac.uk/study-at-lse/The-General-Course/choosing-your-courses" </w:instrText>
      </w:r>
      <w:r>
        <w:fldChar w:fldCharType="separate"/>
      </w:r>
      <w:r>
        <w:rPr>
          <w:rStyle w:val="15"/>
          <w:rFonts w:hint="eastAsia" w:asciiTheme="minorHAnsi" w:hAnsiTheme="minorHAnsi" w:eastAsiaTheme="majorEastAsia" w:cstheme="minorHAnsi"/>
        </w:rPr>
        <w:t>学校官网</w:t>
      </w:r>
      <w:r>
        <w:rPr>
          <w:rStyle w:val="15"/>
          <w:rFonts w:hint="eastAsia" w:asciiTheme="minorHAnsi" w:hAnsiTheme="minorHAnsi" w:eastAsiaTheme="majorEastAsia" w:cstheme="minorHAnsi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授课形式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   LSE的授课形式采取大课讲座与小班讨论的混合模式。大课讲座通常学生人数较多，所有注册该课程的学生均需参加，人数最多时可达数百名。 而小班讨论的课堂通常不超过15名学生，以保障教学质量和学生的充分参与。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LSE小班讨论的课堂时间因课程不同而存在差异，但通常为每周8至12小时，其余时间主要用于讲座与自学。LSE特别强调独立自主的学习方式，建议学生每周至少保持20小时以上的独立研习时间。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项目考核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LSE学年访学项目的考核方法包括课堂分数以及考试分数。完成学习并通过考核后，学生将获得LSE颁发的正式成绩单。L</w:t>
      </w:r>
      <w:r>
        <w:rPr>
          <w:rFonts w:asciiTheme="minorHAnsi" w:hAnsiTheme="minorHAnsi" w:eastAsiaTheme="majorEastAsia" w:cstheme="minorHAnsi"/>
          <w:szCs w:val="21"/>
        </w:rPr>
        <w:t>SE</w:t>
      </w:r>
      <w:r>
        <w:rPr>
          <w:rFonts w:hint="eastAsia" w:asciiTheme="minorHAnsi" w:hAnsiTheme="minorHAnsi" w:eastAsiaTheme="majorEastAsia" w:cstheme="minorHAnsi"/>
          <w:szCs w:val="21"/>
        </w:rPr>
        <w:t>学年访学项目不直接授予项目学生学分，通常LSE一门课的学分相当于美国教育体系中的3个学分。</w:t>
      </w:r>
      <w:r>
        <w:rPr>
          <w:rFonts w:asciiTheme="minorHAnsi" w:hAnsiTheme="minorHAnsi" w:eastAsiaTheme="majorEastAsia" w:cstheme="minorHAnsi"/>
          <w:szCs w:val="21"/>
        </w:rPr>
        <w:t>经</w:t>
      </w:r>
      <w:r>
        <w:rPr>
          <w:rFonts w:hint="eastAsia" w:asciiTheme="minorHAnsi" w:hAnsiTheme="minorHAnsi" w:eastAsiaTheme="majorEastAsia" w:cstheme="minorHAnsi"/>
          <w:szCs w:val="21"/>
        </w:rPr>
        <w:t>国内高校</w:t>
      </w:r>
      <w:r>
        <w:rPr>
          <w:rFonts w:asciiTheme="minorHAnsi" w:hAnsiTheme="minorHAnsi" w:eastAsiaTheme="majorEastAsia" w:cstheme="minorHAnsi"/>
          <w:szCs w:val="21"/>
        </w:rPr>
        <w:t>教务处</w:t>
      </w:r>
      <w:r>
        <w:rPr>
          <w:rFonts w:hint="eastAsia" w:asciiTheme="minorHAnsi" w:hAnsiTheme="minorHAnsi" w:eastAsiaTheme="majorEastAsia" w:cstheme="minorHAnsi"/>
          <w:szCs w:val="21"/>
        </w:rPr>
        <w:t>或</w:t>
      </w:r>
      <w:r>
        <w:rPr>
          <w:rFonts w:asciiTheme="minorHAnsi" w:hAnsiTheme="minorHAnsi" w:eastAsiaTheme="majorEastAsia" w:cstheme="minorHAnsi"/>
          <w:szCs w:val="21"/>
        </w:rPr>
        <w:t>院系评估认可可转为本校学分。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LSE</w:t>
      </w:r>
      <w:r>
        <w:rPr>
          <w:rFonts w:hint="eastAsia" w:cs="Calibri" w:asciiTheme="minorHAnsi" w:hAnsiTheme="minorHAnsi"/>
          <w:szCs w:val="21"/>
        </w:rPr>
        <w:t>正式注册的学生证，凭借学生证可在项目期内，按校方规定使用学校的校园设施与教育资源，包括图书馆、健身房、活动中心等。</w:t>
      </w:r>
      <w:r>
        <w:rPr>
          <w:rFonts w:hint="eastAsia" w:asciiTheme="minorHAnsi" w:hAnsiTheme="minorHAnsi" w:eastAsiaTheme="majorEastAsia" w:cstheme="minorHAnsi"/>
          <w:szCs w:val="21"/>
        </w:rPr>
        <w:t>参加LSE学年访学项目的学生均可获得入住校内宿舍的保障（大部分位于伦敦市中心）。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和奖学金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hint="eastAsia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约人民币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25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.2万元</w:t>
            </w:r>
          </w:p>
          <w:p>
            <w:pPr>
              <w:spacing w:line="360" w:lineRule="auto"/>
              <w:rPr>
                <w:rFonts w:hint="eastAsia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注：以上为参考费用，实际费用受汇率浮动，以最终实际缴费金额为准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学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杂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、医疗与意外险、接机、以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及项目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服务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机票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、英国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签证费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、住宿/餐费、与个人消费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注：L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SE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学年项目的住宿约8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,000-10,000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英镑，以最终实际预订情况为准。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奖学金说明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LSE学年项目可为获得录取的学生提供部分奖学金机会，学生可根据实际需要和自身情况自行申报，具体申报方式请咨询全美国际老师</w:t>
            </w:r>
          </w:p>
        </w:tc>
      </w:tr>
    </w:tbl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</w:t>
      </w:r>
      <w:r>
        <w:rPr>
          <w:rFonts w:asciiTheme="minorHAnsi" w:hAnsiTheme="minorHAnsi" w:eastAsiaTheme="majorEastAsia" w:cstheme="minorHAnsi"/>
          <w:szCs w:val="21"/>
        </w:rPr>
        <w:t>要求</w:t>
      </w:r>
      <w:r>
        <w:rPr>
          <w:rFonts w:hint="eastAsia" w:asciiTheme="minorHAnsi" w:hAnsiTheme="minorHAnsi" w:eastAsiaTheme="majorEastAsia" w:cstheme="minorHAnsi"/>
          <w:szCs w:val="21"/>
        </w:rPr>
        <w:t>：雅思7.0以上（单项不低于7.0）；或托福107分以上（写作27，阅读25，听力24，口语24）大学成绩要求：GPA至少达到3.3，最好达到GPA3.5；</w:t>
      </w:r>
      <w:r>
        <w:rPr>
          <w:rFonts w:asciiTheme="minorHAnsi" w:hAnsiTheme="minorHAnsi" w:eastAsiaTheme="majorEastAsia" w:cstheme="minorHAnsi"/>
          <w:szCs w:val="21"/>
        </w:rPr>
        <w:t>仅限本科生，</w:t>
      </w:r>
      <w:r>
        <w:rPr>
          <w:rFonts w:hint="eastAsia" w:asciiTheme="minorHAnsi" w:hAnsiTheme="minorHAnsi" w:eastAsiaTheme="majorEastAsia" w:cstheme="minorHAnsi"/>
          <w:szCs w:val="21"/>
        </w:rPr>
        <w:t>入学时学生需已完成大二课程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申请者需提交一份个人陈述、大学成绩单、英语成绩单并提供两位推荐人的姓名与电子邮件联系方式。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Cs/>
          <w:kern w:val="0"/>
          <w:szCs w:val="21"/>
        </w:rPr>
        <w:t>报名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方式：</w:t>
      </w:r>
      <w:r>
        <w:rPr>
          <w:rFonts w:asciiTheme="minorHAnsi" w:hAnsiTheme="minorHAnsi" w:eastAsiaTheme="majorEastAsia" w:cstheme="minorHAnsi"/>
          <w:szCs w:val="21"/>
        </w:rPr>
        <w:t>登录全美国际教育协会网站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5"/>
          <w:rFonts w:hint="eastAsia" w:asciiTheme="minorHAnsi" w:hAnsiTheme="minorHAnsi" w:eastAsiaTheme="majorEastAsia" w:cstheme="minorHAnsi"/>
          <w:szCs w:val="21"/>
        </w:rPr>
        <w:t>www.usiea.org</w:t>
      </w:r>
      <w:r>
        <w:rPr>
          <w:rStyle w:val="15"/>
          <w:rFonts w:hint="eastAsia"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  <w:r>
        <w:rPr>
          <w:rFonts w:asciiTheme="minorHAnsi" w:hAnsiTheme="minorHAnsi" w:eastAsiaTheme="majorEastAsia" w:cstheme="minorHAnsi"/>
          <w:szCs w:val="21"/>
        </w:rPr>
        <w:t>填写《</w:t>
      </w:r>
      <w:r>
        <w:rPr>
          <w:rFonts w:hint="eastAsia" w:asciiTheme="minorHAnsi" w:hAnsiTheme="minorHAnsi" w:eastAsiaTheme="majorEastAsia" w:cstheme="minorHAnsi"/>
          <w:szCs w:val="21"/>
        </w:rPr>
        <w:t>世界顶级</w:t>
      </w:r>
      <w:r>
        <w:rPr>
          <w:rFonts w:asciiTheme="minorHAnsi" w:hAnsiTheme="minorHAnsi" w:eastAsiaTheme="majorEastAsia" w:cstheme="minorHAnsi"/>
          <w:szCs w:val="21"/>
        </w:rPr>
        <w:t>名校访学项目报名表》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jc w:val="left"/>
        <w:rPr>
          <w:rFonts w:cs="宋体" w:asciiTheme="minorHAnsi" w:hAnsiTheme="minorHAnsi"/>
          <w:kern w:val="0"/>
          <w:szCs w:val="21"/>
        </w:rPr>
      </w:pPr>
      <w:r>
        <w:rPr>
          <w:rFonts w:hint="eastAsia" w:cs="宋体" w:asciiTheme="minorHAnsi" w:hAnsiTheme="minorHAnsi"/>
          <w:kern w:val="0"/>
          <w:szCs w:val="21"/>
        </w:rPr>
        <w:t>———————————————————————————————————————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全美国际教育协会官网：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Fonts w:cs="Calibri" w:asciiTheme="minorHAnsi" w:hAnsiTheme="minorHAnsi"/>
          <w:color w:val="0068B7"/>
          <w:kern w:val="0"/>
          <w:sz w:val="22"/>
        </w:rPr>
        <w:t>www.usiea.org</w:t>
      </w:r>
      <w:r>
        <w:rPr>
          <w:rFonts w:cs="Calibri" w:asciiTheme="minorHAnsi" w:hAnsiTheme="minorHAnsi"/>
          <w:color w:val="0068B7"/>
          <w:kern w:val="0"/>
          <w:sz w:val="22"/>
        </w:rPr>
        <w:fldChar w:fldCharType="end"/>
      </w:r>
      <w:r>
        <w:rPr>
          <w:rFonts w:cs="Calibri" w:asciiTheme="minorHAnsi" w:hAnsiTheme="minorHAnsi"/>
          <w:kern w:val="0"/>
          <w:sz w:val="22"/>
        </w:rPr>
        <w:t xml:space="preserve"> </w:t>
      </w:r>
    </w:p>
    <w:p>
      <w:pPr>
        <w:spacing w:line="360" w:lineRule="auto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color w:val="0068B7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项目邮箱咨询：</w:t>
      </w:r>
      <w:r>
        <w:fldChar w:fldCharType="begin"/>
      </w:r>
      <w:r>
        <w:instrText xml:space="preserve"> HYPERLINK "mailto:visitlse@yeah.net" </w:instrText>
      </w:r>
      <w:r>
        <w:fldChar w:fldCharType="separate"/>
      </w:r>
      <w:r>
        <w:rPr>
          <w:rFonts w:cs="Calibri" w:asciiTheme="minorHAnsi" w:hAnsiTheme="minorHAnsi"/>
          <w:color w:val="0068B7"/>
          <w:kern w:val="0"/>
          <w:sz w:val="22"/>
        </w:rPr>
        <w:t>visit</w:t>
      </w:r>
      <w:r>
        <w:rPr>
          <w:rFonts w:hint="eastAsia" w:cs="Calibri" w:asciiTheme="minorHAnsi" w:hAnsiTheme="minorHAnsi"/>
          <w:color w:val="0068B7"/>
          <w:kern w:val="0"/>
          <w:sz w:val="22"/>
        </w:rPr>
        <w:t>lse</w:t>
      </w:r>
      <w:r>
        <w:rPr>
          <w:rFonts w:cs="Calibri" w:asciiTheme="minorHAnsi" w:hAnsiTheme="minorHAnsi"/>
          <w:color w:val="0068B7"/>
          <w:kern w:val="0"/>
          <w:sz w:val="22"/>
        </w:rPr>
        <w:t>@yeah.net</w:t>
      </w:r>
      <w:r>
        <w:rPr>
          <w:rFonts w:cs="Calibri" w:asciiTheme="minorHAnsi" w:hAnsiTheme="minorHAnsi"/>
          <w:color w:val="0068B7"/>
          <w:kern w:val="0"/>
          <w:sz w:val="22"/>
        </w:rPr>
        <w:fldChar w:fldCharType="end"/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F1874"/>
    <w:multiLevelType w:val="multilevel"/>
    <w:tmpl w:val="1D4F187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49241C2D"/>
    <w:multiLevelType w:val="multilevel"/>
    <w:tmpl w:val="49241C2D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072C66"/>
    <w:multiLevelType w:val="multilevel"/>
    <w:tmpl w:val="52072C66"/>
    <w:lvl w:ilvl="0" w:tentative="0">
      <w:start w:val="4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asciiTheme="minorHAnsi" w:hAnsiTheme="minorHAnsi" w:eastAsiaTheme="majorEastAsia" w:cstheme="minorHAnsi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YmEyYWI5ZDlhODE0MmRmOWU3M2JjYTllZWE4YWUifQ=="/>
  </w:docVars>
  <w:rsids>
    <w:rsidRoot w:val="00500A8F"/>
    <w:rsid w:val="000035D7"/>
    <w:rsid w:val="00003F3F"/>
    <w:rsid w:val="00005020"/>
    <w:rsid w:val="00006712"/>
    <w:rsid w:val="000077A9"/>
    <w:rsid w:val="00010F31"/>
    <w:rsid w:val="000169DD"/>
    <w:rsid w:val="0001734D"/>
    <w:rsid w:val="00022AFD"/>
    <w:rsid w:val="000230BD"/>
    <w:rsid w:val="00023476"/>
    <w:rsid w:val="000236D2"/>
    <w:rsid w:val="00024C64"/>
    <w:rsid w:val="00025206"/>
    <w:rsid w:val="00027A95"/>
    <w:rsid w:val="0003068E"/>
    <w:rsid w:val="00030A02"/>
    <w:rsid w:val="00031403"/>
    <w:rsid w:val="0003562C"/>
    <w:rsid w:val="000362BD"/>
    <w:rsid w:val="0003777C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6BB4"/>
    <w:rsid w:val="00066CD0"/>
    <w:rsid w:val="00072B90"/>
    <w:rsid w:val="0008167D"/>
    <w:rsid w:val="000820F9"/>
    <w:rsid w:val="000840CC"/>
    <w:rsid w:val="00091C7E"/>
    <w:rsid w:val="0009206E"/>
    <w:rsid w:val="000953D3"/>
    <w:rsid w:val="000954F4"/>
    <w:rsid w:val="000A01E2"/>
    <w:rsid w:val="000A0A86"/>
    <w:rsid w:val="000A2A22"/>
    <w:rsid w:val="000A4030"/>
    <w:rsid w:val="000A5251"/>
    <w:rsid w:val="000B1A29"/>
    <w:rsid w:val="000B346F"/>
    <w:rsid w:val="000B3A73"/>
    <w:rsid w:val="000B621C"/>
    <w:rsid w:val="000C2F7C"/>
    <w:rsid w:val="000C3F5B"/>
    <w:rsid w:val="000C4E56"/>
    <w:rsid w:val="000C5C18"/>
    <w:rsid w:val="000C7F9A"/>
    <w:rsid w:val="000D4BC5"/>
    <w:rsid w:val="000D5021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0BC0"/>
    <w:rsid w:val="0012340B"/>
    <w:rsid w:val="00124128"/>
    <w:rsid w:val="001241E8"/>
    <w:rsid w:val="0012488E"/>
    <w:rsid w:val="00124B0D"/>
    <w:rsid w:val="00125024"/>
    <w:rsid w:val="001262F3"/>
    <w:rsid w:val="00127FE8"/>
    <w:rsid w:val="00131D30"/>
    <w:rsid w:val="00134011"/>
    <w:rsid w:val="00135F93"/>
    <w:rsid w:val="001370FA"/>
    <w:rsid w:val="00137744"/>
    <w:rsid w:val="0014308B"/>
    <w:rsid w:val="00143294"/>
    <w:rsid w:val="00146AB9"/>
    <w:rsid w:val="00150193"/>
    <w:rsid w:val="001535A1"/>
    <w:rsid w:val="00155FCC"/>
    <w:rsid w:val="00160616"/>
    <w:rsid w:val="001621FC"/>
    <w:rsid w:val="00167799"/>
    <w:rsid w:val="00170451"/>
    <w:rsid w:val="0017244A"/>
    <w:rsid w:val="001738F0"/>
    <w:rsid w:val="00173AC0"/>
    <w:rsid w:val="00176F21"/>
    <w:rsid w:val="0018033F"/>
    <w:rsid w:val="00180AB5"/>
    <w:rsid w:val="00182AE1"/>
    <w:rsid w:val="00182E04"/>
    <w:rsid w:val="001834A2"/>
    <w:rsid w:val="0018354F"/>
    <w:rsid w:val="00185175"/>
    <w:rsid w:val="00186190"/>
    <w:rsid w:val="00190118"/>
    <w:rsid w:val="00192C0F"/>
    <w:rsid w:val="0019459B"/>
    <w:rsid w:val="001A0C7A"/>
    <w:rsid w:val="001A281F"/>
    <w:rsid w:val="001A4366"/>
    <w:rsid w:val="001A7D3B"/>
    <w:rsid w:val="001A7D56"/>
    <w:rsid w:val="001B1730"/>
    <w:rsid w:val="001B1E96"/>
    <w:rsid w:val="001C1A51"/>
    <w:rsid w:val="001C6985"/>
    <w:rsid w:val="001C77DA"/>
    <w:rsid w:val="001D01C6"/>
    <w:rsid w:val="001D3619"/>
    <w:rsid w:val="001D4042"/>
    <w:rsid w:val="001D458C"/>
    <w:rsid w:val="001D4EF4"/>
    <w:rsid w:val="001D5D4C"/>
    <w:rsid w:val="001E31D7"/>
    <w:rsid w:val="001E4E86"/>
    <w:rsid w:val="001E5D98"/>
    <w:rsid w:val="001F1FCF"/>
    <w:rsid w:val="001F4727"/>
    <w:rsid w:val="001F5524"/>
    <w:rsid w:val="001F67D2"/>
    <w:rsid w:val="00200E10"/>
    <w:rsid w:val="00201963"/>
    <w:rsid w:val="00202030"/>
    <w:rsid w:val="00203BFF"/>
    <w:rsid w:val="002046CD"/>
    <w:rsid w:val="00205F7F"/>
    <w:rsid w:val="002133F2"/>
    <w:rsid w:val="0021711E"/>
    <w:rsid w:val="002202A8"/>
    <w:rsid w:val="00220AE0"/>
    <w:rsid w:val="00220E2D"/>
    <w:rsid w:val="002211FB"/>
    <w:rsid w:val="0022214B"/>
    <w:rsid w:val="002274D9"/>
    <w:rsid w:val="00233816"/>
    <w:rsid w:val="0023684E"/>
    <w:rsid w:val="00240E4E"/>
    <w:rsid w:val="002441C6"/>
    <w:rsid w:val="002449A1"/>
    <w:rsid w:val="00251642"/>
    <w:rsid w:val="00254207"/>
    <w:rsid w:val="00255140"/>
    <w:rsid w:val="00261406"/>
    <w:rsid w:val="00261C11"/>
    <w:rsid w:val="00266D3D"/>
    <w:rsid w:val="002679B3"/>
    <w:rsid w:val="00271BCB"/>
    <w:rsid w:val="00274A34"/>
    <w:rsid w:val="00275270"/>
    <w:rsid w:val="0028056A"/>
    <w:rsid w:val="00280A41"/>
    <w:rsid w:val="002852EE"/>
    <w:rsid w:val="00286224"/>
    <w:rsid w:val="002906DF"/>
    <w:rsid w:val="0029179F"/>
    <w:rsid w:val="00292326"/>
    <w:rsid w:val="00295361"/>
    <w:rsid w:val="002954BF"/>
    <w:rsid w:val="00296088"/>
    <w:rsid w:val="00296348"/>
    <w:rsid w:val="00297E1A"/>
    <w:rsid w:val="002A23C6"/>
    <w:rsid w:val="002A32D9"/>
    <w:rsid w:val="002A3386"/>
    <w:rsid w:val="002A402F"/>
    <w:rsid w:val="002B5E23"/>
    <w:rsid w:val="002B61DD"/>
    <w:rsid w:val="002B7076"/>
    <w:rsid w:val="002B7158"/>
    <w:rsid w:val="002C2028"/>
    <w:rsid w:val="002C229B"/>
    <w:rsid w:val="002C27D4"/>
    <w:rsid w:val="002C3134"/>
    <w:rsid w:val="002C612F"/>
    <w:rsid w:val="002C6AEB"/>
    <w:rsid w:val="002C722D"/>
    <w:rsid w:val="002D04D0"/>
    <w:rsid w:val="002D0DAC"/>
    <w:rsid w:val="002D1CC1"/>
    <w:rsid w:val="002D76B2"/>
    <w:rsid w:val="002D7B20"/>
    <w:rsid w:val="002E0BA0"/>
    <w:rsid w:val="002E1476"/>
    <w:rsid w:val="002E3299"/>
    <w:rsid w:val="002E4985"/>
    <w:rsid w:val="002E64CC"/>
    <w:rsid w:val="002E69C9"/>
    <w:rsid w:val="002F1A53"/>
    <w:rsid w:val="002F3568"/>
    <w:rsid w:val="002F7AB9"/>
    <w:rsid w:val="003013CE"/>
    <w:rsid w:val="0030157A"/>
    <w:rsid w:val="00302995"/>
    <w:rsid w:val="00303D3D"/>
    <w:rsid w:val="003047BA"/>
    <w:rsid w:val="00313A58"/>
    <w:rsid w:val="0031712B"/>
    <w:rsid w:val="0032092A"/>
    <w:rsid w:val="00321528"/>
    <w:rsid w:val="00321717"/>
    <w:rsid w:val="00321D5F"/>
    <w:rsid w:val="0032313B"/>
    <w:rsid w:val="00330EF0"/>
    <w:rsid w:val="00333C15"/>
    <w:rsid w:val="00334EC1"/>
    <w:rsid w:val="00342D9D"/>
    <w:rsid w:val="00342E7E"/>
    <w:rsid w:val="0035066E"/>
    <w:rsid w:val="003508E4"/>
    <w:rsid w:val="003518A8"/>
    <w:rsid w:val="00352A1D"/>
    <w:rsid w:val="00353816"/>
    <w:rsid w:val="00355979"/>
    <w:rsid w:val="003574A4"/>
    <w:rsid w:val="00361CCF"/>
    <w:rsid w:val="00364A0C"/>
    <w:rsid w:val="003738EA"/>
    <w:rsid w:val="00375491"/>
    <w:rsid w:val="00381E2C"/>
    <w:rsid w:val="003822A8"/>
    <w:rsid w:val="00383DCC"/>
    <w:rsid w:val="00386A4E"/>
    <w:rsid w:val="00386C51"/>
    <w:rsid w:val="00387362"/>
    <w:rsid w:val="00390C9A"/>
    <w:rsid w:val="00390FCA"/>
    <w:rsid w:val="00394758"/>
    <w:rsid w:val="00394A95"/>
    <w:rsid w:val="00396306"/>
    <w:rsid w:val="00397742"/>
    <w:rsid w:val="003A6BB9"/>
    <w:rsid w:val="003B4151"/>
    <w:rsid w:val="003B669C"/>
    <w:rsid w:val="003B786E"/>
    <w:rsid w:val="003C30F6"/>
    <w:rsid w:val="003C6EF7"/>
    <w:rsid w:val="003D0F7B"/>
    <w:rsid w:val="003D0FE9"/>
    <w:rsid w:val="003D13F7"/>
    <w:rsid w:val="003D2BCE"/>
    <w:rsid w:val="003D4037"/>
    <w:rsid w:val="003D4529"/>
    <w:rsid w:val="003D4B46"/>
    <w:rsid w:val="003D5531"/>
    <w:rsid w:val="003D5F48"/>
    <w:rsid w:val="003D7B86"/>
    <w:rsid w:val="003E01B3"/>
    <w:rsid w:val="003E3199"/>
    <w:rsid w:val="003E3788"/>
    <w:rsid w:val="003E7DA0"/>
    <w:rsid w:val="003F050A"/>
    <w:rsid w:val="003F059B"/>
    <w:rsid w:val="003F16A0"/>
    <w:rsid w:val="003F50D1"/>
    <w:rsid w:val="003F5D96"/>
    <w:rsid w:val="003F5F88"/>
    <w:rsid w:val="00402B49"/>
    <w:rsid w:val="00404265"/>
    <w:rsid w:val="0041117C"/>
    <w:rsid w:val="0041273F"/>
    <w:rsid w:val="0042204E"/>
    <w:rsid w:val="00426325"/>
    <w:rsid w:val="00430B91"/>
    <w:rsid w:val="004330A9"/>
    <w:rsid w:val="00437A33"/>
    <w:rsid w:val="00440C9F"/>
    <w:rsid w:val="00443C5D"/>
    <w:rsid w:val="004469A3"/>
    <w:rsid w:val="0045270B"/>
    <w:rsid w:val="00454C45"/>
    <w:rsid w:val="00455152"/>
    <w:rsid w:val="00456E4F"/>
    <w:rsid w:val="00461EE8"/>
    <w:rsid w:val="004624BE"/>
    <w:rsid w:val="00464F1E"/>
    <w:rsid w:val="00465A92"/>
    <w:rsid w:val="004679CE"/>
    <w:rsid w:val="00467FC8"/>
    <w:rsid w:val="00470270"/>
    <w:rsid w:val="004717DA"/>
    <w:rsid w:val="00471CBF"/>
    <w:rsid w:val="00472046"/>
    <w:rsid w:val="00480534"/>
    <w:rsid w:val="00481A67"/>
    <w:rsid w:val="00485AD1"/>
    <w:rsid w:val="00486AA5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15F5"/>
    <w:rsid w:val="004C343D"/>
    <w:rsid w:val="004C5277"/>
    <w:rsid w:val="004C6632"/>
    <w:rsid w:val="004D2423"/>
    <w:rsid w:val="004D3884"/>
    <w:rsid w:val="004D5BBA"/>
    <w:rsid w:val="004D5D38"/>
    <w:rsid w:val="004E0748"/>
    <w:rsid w:val="004E728E"/>
    <w:rsid w:val="004F0AAB"/>
    <w:rsid w:val="004F743F"/>
    <w:rsid w:val="004F7C1B"/>
    <w:rsid w:val="00500A8F"/>
    <w:rsid w:val="00500DE1"/>
    <w:rsid w:val="005028D5"/>
    <w:rsid w:val="005043E9"/>
    <w:rsid w:val="00504FF1"/>
    <w:rsid w:val="005060F9"/>
    <w:rsid w:val="0051106C"/>
    <w:rsid w:val="00512BAE"/>
    <w:rsid w:val="005143A6"/>
    <w:rsid w:val="00520C0E"/>
    <w:rsid w:val="00521924"/>
    <w:rsid w:val="00522EAE"/>
    <w:rsid w:val="00523C32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2CC6"/>
    <w:rsid w:val="00554115"/>
    <w:rsid w:val="00554D5C"/>
    <w:rsid w:val="00555016"/>
    <w:rsid w:val="00555043"/>
    <w:rsid w:val="005559B9"/>
    <w:rsid w:val="00556212"/>
    <w:rsid w:val="005606AC"/>
    <w:rsid w:val="00563622"/>
    <w:rsid w:val="005643D6"/>
    <w:rsid w:val="0057138A"/>
    <w:rsid w:val="00571797"/>
    <w:rsid w:val="00572B6E"/>
    <w:rsid w:val="005730D7"/>
    <w:rsid w:val="005762B0"/>
    <w:rsid w:val="00584716"/>
    <w:rsid w:val="005849E3"/>
    <w:rsid w:val="00584E4F"/>
    <w:rsid w:val="00584E6C"/>
    <w:rsid w:val="005868F6"/>
    <w:rsid w:val="00586D6C"/>
    <w:rsid w:val="00587D18"/>
    <w:rsid w:val="00593AC3"/>
    <w:rsid w:val="00596D1A"/>
    <w:rsid w:val="005A31F5"/>
    <w:rsid w:val="005A65C8"/>
    <w:rsid w:val="005B5140"/>
    <w:rsid w:val="005B69C2"/>
    <w:rsid w:val="005C27A1"/>
    <w:rsid w:val="005C28B5"/>
    <w:rsid w:val="005C4BF2"/>
    <w:rsid w:val="005C67D4"/>
    <w:rsid w:val="005C7CC0"/>
    <w:rsid w:val="005D0683"/>
    <w:rsid w:val="005D474E"/>
    <w:rsid w:val="005D6F09"/>
    <w:rsid w:val="005E09FF"/>
    <w:rsid w:val="005E5A41"/>
    <w:rsid w:val="005E674A"/>
    <w:rsid w:val="005E6E17"/>
    <w:rsid w:val="005F0AD3"/>
    <w:rsid w:val="005F6112"/>
    <w:rsid w:val="006001D3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A3C"/>
    <w:rsid w:val="00637AD1"/>
    <w:rsid w:val="006415DA"/>
    <w:rsid w:val="006452B3"/>
    <w:rsid w:val="00657FCD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0FF7"/>
    <w:rsid w:val="00681291"/>
    <w:rsid w:val="0068314B"/>
    <w:rsid w:val="00683559"/>
    <w:rsid w:val="006858D5"/>
    <w:rsid w:val="00687DBB"/>
    <w:rsid w:val="00696B1C"/>
    <w:rsid w:val="006A01E8"/>
    <w:rsid w:val="006A0D12"/>
    <w:rsid w:val="006A2B5F"/>
    <w:rsid w:val="006A2FF7"/>
    <w:rsid w:val="006A32C4"/>
    <w:rsid w:val="006A6080"/>
    <w:rsid w:val="006A72B8"/>
    <w:rsid w:val="006A7C06"/>
    <w:rsid w:val="006B28F7"/>
    <w:rsid w:val="006B576E"/>
    <w:rsid w:val="006B7C51"/>
    <w:rsid w:val="006B7C8E"/>
    <w:rsid w:val="006C1F05"/>
    <w:rsid w:val="006C2070"/>
    <w:rsid w:val="006C4514"/>
    <w:rsid w:val="006D5B15"/>
    <w:rsid w:val="006D642C"/>
    <w:rsid w:val="006F038D"/>
    <w:rsid w:val="006F43A0"/>
    <w:rsid w:val="006F70F8"/>
    <w:rsid w:val="00700EA9"/>
    <w:rsid w:val="0070255A"/>
    <w:rsid w:val="00705986"/>
    <w:rsid w:val="00705BEF"/>
    <w:rsid w:val="00706179"/>
    <w:rsid w:val="0071139B"/>
    <w:rsid w:val="007113DD"/>
    <w:rsid w:val="0071430B"/>
    <w:rsid w:val="00720659"/>
    <w:rsid w:val="0072201D"/>
    <w:rsid w:val="00726857"/>
    <w:rsid w:val="00726D8F"/>
    <w:rsid w:val="00727B01"/>
    <w:rsid w:val="007328BD"/>
    <w:rsid w:val="00733292"/>
    <w:rsid w:val="00734D73"/>
    <w:rsid w:val="00735A0C"/>
    <w:rsid w:val="00736663"/>
    <w:rsid w:val="00740DD5"/>
    <w:rsid w:val="007423FD"/>
    <w:rsid w:val="00743412"/>
    <w:rsid w:val="00760C7A"/>
    <w:rsid w:val="007619AD"/>
    <w:rsid w:val="00762330"/>
    <w:rsid w:val="007640E0"/>
    <w:rsid w:val="007652B1"/>
    <w:rsid w:val="00767A55"/>
    <w:rsid w:val="00770616"/>
    <w:rsid w:val="00770E19"/>
    <w:rsid w:val="00772B66"/>
    <w:rsid w:val="00772E22"/>
    <w:rsid w:val="00774257"/>
    <w:rsid w:val="00775505"/>
    <w:rsid w:val="007759AB"/>
    <w:rsid w:val="00776AE1"/>
    <w:rsid w:val="00777630"/>
    <w:rsid w:val="007807CA"/>
    <w:rsid w:val="0078354C"/>
    <w:rsid w:val="0078377B"/>
    <w:rsid w:val="00783B2F"/>
    <w:rsid w:val="00785C31"/>
    <w:rsid w:val="00795004"/>
    <w:rsid w:val="00796C00"/>
    <w:rsid w:val="007977EE"/>
    <w:rsid w:val="007A01B4"/>
    <w:rsid w:val="007A03BE"/>
    <w:rsid w:val="007A07E5"/>
    <w:rsid w:val="007A2996"/>
    <w:rsid w:val="007A385D"/>
    <w:rsid w:val="007A3E79"/>
    <w:rsid w:val="007A7362"/>
    <w:rsid w:val="007B2C09"/>
    <w:rsid w:val="007B436B"/>
    <w:rsid w:val="007B5A17"/>
    <w:rsid w:val="007B7729"/>
    <w:rsid w:val="007B7D1E"/>
    <w:rsid w:val="007C2153"/>
    <w:rsid w:val="007C348F"/>
    <w:rsid w:val="007C5BAC"/>
    <w:rsid w:val="007C66DE"/>
    <w:rsid w:val="007D0768"/>
    <w:rsid w:val="007D224F"/>
    <w:rsid w:val="007D2FE4"/>
    <w:rsid w:val="007D62F3"/>
    <w:rsid w:val="007D67D4"/>
    <w:rsid w:val="007E0C8A"/>
    <w:rsid w:val="007E26F2"/>
    <w:rsid w:val="007E2951"/>
    <w:rsid w:val="007E32E8"/>
    <w:rsid w:val="007E3816"/>
    <w:rsid w:val="007E3ADE"/>
    <w:rsid w:val="007F04ED"/>
    <w:rsid w:val="007F342D"/>
    <w:rsid w:val="007F5700"/>
    <w:rsid w:val="00802548"/>
    <w:rsid w:val="00802957"/>
    <w:rsid w:val="00814AA6"/>
    <w:rsid w:val="008153A8"/>
    <w:rsid w:val="00817491"/>
    <w:rsid w:val="00821496"/>
    <w:rsid w:val="00821DC7"/>
    <w:rsid w:val="00822EED"/>
    <w:rsid w:val="008261CD"/>
    <w:rsid w:val="00826507"/>
    <w:rsid w:val="008267EE"/>
    <w:rsid w:val="0083050D"/>
    <w:rsid w:val="00831C27"/>
    <w:rsid w:val="00832E9B"/>
    <w:rsid w:val="00837952"/>
    <w:rsid w:val="008432ED"/>
    <w:rsid w:val="00843F7D"/>
    <w:rsid w:val="008450F3"/>
    <w:rsid w:val="00845245"/>
    <w:rsid w:val="00845652"/>
    <w:rsid w:val="00851871"/>
    <w:rsid w:val="00853833"/>
    <w:rsid w:val="00860271"/>
    <w:rsid w:val="0086177A"/>
    <w:rsid w:val="0086227D"/>
    <w:rsid w:val="00863FEE"/>
    <w:rsid w:val="008653E0"/>
    <w:rsid w:val="00866BD2"/>
    <w:rsid w:val="0086759C"/>
    <w:rsid w:val="00870D6A"/>
    <w:rsid w:val="0087133B"/>
    <w:rsid w:val="00872523"/>
    <w:rsid w:val="008733D7"/>
    <w:rsid w:val="008775A8"/>
    <w:rsid w:val="0088020B"/>
    <w:rsid w:val="0088113C"/>
    <w:rsid w:val="00881CA9"/>
    <w:rsid w:val="0088500C"/>
    <w:rsid w:val="00887346"/>
    <w:rsid w:val="0089014A"/>
    <w:rsid w:val="008902CF"/>
    <w:rsid w:val="00894757"/>
    <w:rsid w:val="008966E9"/>
    <w:rsid w:val="008B4949"/>
    <w:rsid w:val="008B4A3B"/>
    <w:rsid w:val="008B56E5"/>
    <w:rsid w:val="008B7215"/>
    <w:rsid w:val="008B79D1"/>
    <w:rsid w:val="008B7F03"/>
    <w:rsid w:val="008C1F77"/>
    <w:rsid w:val="008C2DDA"/>
    <w:rsid w:val="008C4A82"/>
    <w:rsid w:val="008D3CFE"/>
    <w:rsid w:val="008D55B7"/>
    <w:rsid w:val="008D5E6C"/>
    <w:rsid w:val="008D5FF3"/>
    <w:rsid w:val="008D7F16"/>
    <w:rsid w:val="008E2F80"/>
    <w:rsid w:val="008E4534"/>
    <w:rsid w:val="008E50C7"/>
    <w:rsid w:val="008E54DB"/>
    <w:rsid w:val="008F1045"/>
    <w:rsid w:val="008F1FD1"/>
    <w:rsid w:val="008F6298"/>
    <w:rsid w:val="009018E4"/>
    <w:rsid w:val="00903AB5"/>
    <w:rsid w:val="00903BED"/>
    <w:rsid w:val="00905613"/>
    <w:rsid w:val="00905BF1"/>
    <w:rsid w:val="00907193"/>
    <w:rsid w:val="00907BE2"/>
    <w:rsid w:val="00913572"/>
    <w:rsid w:val="009171E7"/>
    <w:rsid w:val="00917A3B"/>
    <w:rsid w:val="0092087F"/>
    <w:rsid w:val="00920936"/>
    <w:rsid w:val="00922281"/>
    <w:rsid w:val="0092377F"/>
    <w:rsid w:val="00930DF7"/>
    <w:rsid w:val="00936821"/>
    <w:rsid w:val="009409B4"/>
    <w:rsid w:val="00940A3E"/>
    <w:rsid w:val="0094120B"/>
    <w:rsid w:val="0094276A"/>
    <w:rsid w:val="00942C75"/>
    <w:rsid w:val="0094521C"/>
    <w:rsid w:val="0094640B"/>
    <w:rsid w:val="009501C8"/>
    <w:rsid w:val="00951195"/>
    <w:rsid w:val="00952045"/>
    <w:rsid w:val="00952679"/>
    <w:rsid w:val="00952BA5"/>
    <w:rsid w:val="009531E1"/>
    <w:rsid w:val="00954D69"/>
    <w:rsid w:val="009554FB"/>
    <w:rsid w:val="00957EEC"/>
    <w:rsid w:val="00961B5B"/>
    <w:rsid w:val="00961BAD"/>
    <w:rsid w:val="00963696"/>
    <w:rsid w:val="009642E6"/>
    <w:rsid w:val="009645E2"/>
    <w:rsid w:val="00965CCC"/>
    <w:rsid w:val="0097060A"/>
    <w:rsid w:val="00972BCD"/>
    <w:rsid w:val="0097304E"/>
    <w:rsid w:val="0097647D"/>
    <w:rsid w:val="009824FC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B0D73"/>
    <w:rsid w:val="009B3167"/>
    <w:rsid w:val="009B7CCB"/>
    <w:rsid w:val="009C020C"/>
    <w:rsid w:val="009C25A0"/>
    <w:rsid w:val="009C44ED"/>
    <w:rsid w:val="009C5D67"/>
    <w:rsid w:val="009C698C"/>
    <w:rsid w:val="009C7A2D"/>
    <w:rsid w:val="009C7CE4"/>
    <w:rsid w:val="009E092C"/>
    <w:rsid w:val="009E18AF"/>
    <w:rsid w:val="009E4A3B"/>
    <w:rsid w:val="009E5D88"/>
    <w:rsid w:val="009F0653"/>
    <w:rsid w:val="009F1FC1"/>
    <w:rsid w:val="009F7FCB"/>
    <w:rsid w:val="00A00B17"/>
    <w:rsid w:val="00A01C5A"/>
    <w:rsid w:val="00A07695"/>
    <w:rsid w:val="00A07DCE"/>
    <w:rsid w:val="00A1042E"/>
    <w:rsid w:val="00A10667"/>
    <w:rsid w:val="00A14608"/>
    <w:rsid w:val="00A1794D"/>
    <w:rsid w:val="00A207E1"/>
    <w:rsid w:val="00A220C6"/>
    <w:rsid w:val="00A2225A"/>
    <w:rsid w:val="00A2358C"/>
    <w:rsid w:val="00A23C33"/>
    <w:rsid w:val="00A24AA3"/>
    <w:rsid w:val="00A2663A"/>
    <w:rsid w:val="00A31C85"/>
    <w:rsid w:val="00A32B62"/>
    <w:rsid w:val="00A32C2E"/>
    <w:rsid w:val="00A33A9E"/>
    <w:rsid w:val="00A344D7"/>
    <w:rsid w:val="00A50BF4"/>
    <w:rsid w:val="00A568B0"/>
    <w:rsid w:val="00A57829"/>
    <w:rsid w:val="00A60310"/>
    <w:rsid w:val="00A623DF"/>
    <w:rsid w:val="00A67B5E"/>
    <w:rsid w:val="00A72E16"/>
    <w:rsid w:val="00A74526"/>
    <w:rsid w:val="00A76003"/>
    <w:rsid w:val="00A76D78"/>
    <w:rsid w:val="00A83140"/>
    <w:rsid w:val="00A843DA"/>
    <w:rsid w:val="00A84830"/>
    <w:rsid w:val="00A878D6"/>
    <w:rsid w:val="00A9241D"/>
    <w:rsid w:val="00A92D51"/>
    <w:rsid w:val="00AA1738"/>
    <w:rsid w:val="00AA2334"/>
    <w:rsid w:val="00AA4DC4"/>
    <w:rsid w:val="00AB05C6"/>
    <w:rsid w:val="00AB66D7"/>
    <w:rsid w:val="00AB694F"/>
    <w:rsid w:val="00AC32C6"/>
    <w:rsid w:val="00AD37E5"/>
    <w:rsid w:val="00AD3CFD"/>
    <w:rsid w:val="00AD7BA1"/>
    <w:rsid w:val="00AE32F1"/>
    <w:rsid w:val="00AE5279"/>
    <w:rsid w:val="00AF1520"/>
    <w:rsid w:val="00AF5247"/>
    <w:rsid w:val="00AF78C6"/>
    <w:rsid w:val="00AF7CB4"/>
    <w:rsid w:val="00B00961"/>
    <w:rsid w:val="00B01ADE"/>
    <w:rsid w:val="00B01F4F"/>
    <w:rsid w:val="00B12237"/>
    <w:rsid w:val="00B12F3C"/>
    <w:rsid w:val="00B22841"/>
    <w:rsid w:val="00B24FF7"/>
    <w:rsid w:val="00B2543C"/>
    <w:rsid w:val="00B26192"/>
    <w:rsid w:val="00B262CD"/>
    <w:rsid w:val="00B40A66"/>
    <w:rsid w:val="00B44FDB"/>
    <w:rsid w:val="00B50CF4"/>
    <w:rsid w:val="00B55BC5"/>
    <w:rsid w:val="00B57B39"/>
    <w:rsid w:val="00B60E9C"/>
    <w:rsid w:val="00B64AE7"/>
    <w:rsid w:val="00B6632A"/>
    <w:rsid w:val="00B67942"/>
    <w:rsid w:val="00B67C18"/>
    <w:rsid w:val="00B74F9C"/>
    <w:rsid w:val="00B76A1E"/>
    <w:rsid w:val="00B801E0"/>
    <w:rsid w:val="00B8044E"/>
    <w:rsid w:val="00B83422"/>
    <w:rsid w:val="00B841C1"/>
    <w:rsid w:val="00B86083"/>
    <w:rsid w:val="00B8765A"/>
    <w:rsid w:val="00B955B3"/>
    <w:rsid w:val="00BA15F6"/>
    <w:rsid w:val="00BA5348"/>
    <w:rsid w:val="00BB0CAA"/>
    <w:rsid w:val="00BB11A8"/>
    <w:rsid w:val="00BB2026"/>
    <w:rsid w:val="00BB78A4"/>
    <w:rsid w:val="00BB7F1E"/>
    <w:rsid w:val="00BC2ABE"/>
    <w:rsid w:val="00BC3B43"/>
    <w:rsid w:val="00BC5535"/>
    <w:rsid w:val="00BD0575"/>
    <w:rsid w:val="00BD3A1E"/>
    <w:rsid w:val="00BE02A7"/>
    <w:rsid w:val="00BE2788"/>
    <w:rsid w:val="00BE539C"/>
    <w:rsid w:val="00BE6F4C"/>
    <w:rsid w:val="00BE78C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17D89"/>
    <w:rsid w:val="00C20343"/>
    <w:rsid w:val="00C227C2"/>
    <w:rsid w:val="00C249A2"/>
    <w:rsid w:val="00C30292"/>
    <w:rsid w:val="00C444EA"/>
    <w:rsid w:val="00C44F99"/>
    <w:rsid w:val="00C50408"/>
    <w:rsid w:val="00C50DF8"/>
    <w:rsid w:val="00C5114A"/>
    <w:rsid w:val="00C55BB5"/>
    <w:rsid w:val="00C61DCC"/>
    <w:rsid w:val="00C64953"/>
    <w:rsid w:val="00C65409"/>
    <w:rsid w:val="00C72F22"/>
    <w:rsid w:val="00C745E3"/>
    <w:rsid w:val="00C7494D"/>
    <w:rsid w:val="00C75C2E"/>
    <w:rsid w:val="00C766EF"/>
    <w:rsid w:val="00C773FC"/>
    <w:rsid w:val="00C807AA"/>
    <w:rsid w:val="00C80EE6"/>
    <w:rsid w:val="00C817A7"/>
    <w:rsid w:val="00C82075"/>
    <w:rsid w:val="00C861B2"/>
    <w:rsid w:val="00C8729D"/>
    <w:rsid w:val="00CA2A8B"/>
    <w:rsid w:val="00CA65E9"/>
    <w:rsid w:val="00CB1784"/>
    <w:rsid w:val="00CB4339"/>
    <w:rsid w:val="00CB67B9"/>
    <w:rsid w:val="00CB6A55"/>
    <w:rsid w:val="00CC06D4"/>
    <w:rsid w:val="00CC1890"/>
    <w:rsid w:val="00CC4709"/>
    <w:rsid w:val="00CC480B"/>
    <w:rsid w:val="00CC72C5"/>
    <w:rsid w:val="00CC7310"/>
    <w:rsid w:val="00CD056C"/>
    <w:rsid w:val="00CD332E"/>
    <w:rsid w:val="00CD41C2"/>
    <w:rsid w:val="00CD4647"/>
    <w:rsid w:val="00CD57A7"/>
    <w:rsid w:val="00CD7484"/>
    <w:rsid w:val="00CE00F3"/>
    <w:rsid w:val="00CE06FC"/>
    <w:rsid w:val="00CE4335"/>
    <w:rsid w:val="00D03331"/>
    <w:rsid w:val="00D04A33"/>
    <w:rsid w:val="00D062FA"/>
    <w:rsid w:val="00D073EA"/>
    <w:rsid w:val="00D07A87"/>
    <w:rsid w:val="00D110BB"/>
    <w:rsid w:val="00D12776"/>
    <w:rsid w:val="00D12ABA"/>
    <w:rsid w:val="00D12D35"/>
    <w:rsid w:val="00D16BE4"/>
    <w:rsid w:val="00D2092D"/>
    <w:rsid w:val="00D238C6"/>
    <w:rsid w:val="00D30EB1"/>
    <w:rsid w:val="00D31AFE"/>
    <w:rsid w:val="00D332D6"/>
    <w:rsid w:val="00D346FC"/>
    <w:rsid w:val="00D351C9"/>
    <w:rsid w:val="00D35444"/>
    <w:rsid w:val="00D35A08"/>
    <w:rsid w:val="00D3691D"/>
    <w:rsid w:val="00D371C4"/>
    <w:rsid w:val="00D42657"/>
    <w:rsid w:val="00D471D1"/>
    <w:rsid w:val="00D50239"/>
    <w:rsid w:val="00D50E81"/>
    <w:rsid w:val="00D577A0"/>
    <w:rsid w:val="00D626B6"/>
    <w:rsid w:val="00D634D8"/>
    <w:rsid w:val="00D63C2D"/>
    <w:rsid w:val="00D651FF"/>
    <w:rsid w:val="00D7008E"/>
    <w:rsid w:val="00D70197"/>
    <w:rsid w:val="00D71DEB"/>
    <w:rsid w:val="00D73882"/>
    <w:rsid w:val="00D754A6"/>
    <w:rsid w:val="00D80609"/>
    <w:rsid w:val="00D82BB6"/>
    <w:rsid w:val="00D933BC"/>
    <w:rsid w:val="00D96CBF"/>
    <w:rsid w:val="00DA100A"/>
    <w:rsid w:val="00DA25AD"/>
    <w:rsid w:val="00DA73E5"/>
    <w:rsid w:val="00DB0090"/>
    <w:rsid w:val="00DB1679"/>
    <w:rsid w:val="00DB7777"/>
    <w:rsid w:val="00DC2F1C"/>
    <w:rsid w:val="00DC2F84"/>
    <w:rsid w:val="00DC4BA2"/>
    <w:rsid w:val="00DD038D"/>
    <w:rsid w:val="00DD4C8D"/>
    <w:rsid w:val="00DD7FB4"/>
    <w:rsid w:val="00DF11F3"/>
    <w:rsid w:val="00DF1C7E"/>
    <w:rsid w:val="00DF2CF8"/>
    <w:rsid w:val="00DF4AB0"/>
    <w:rsid w:val="00DF66EE"/>
    <w:rsid w:val="00E00371"/>
    <w:rsid w:val="00E07A31"/>
    <w:rsid w:val="00E07C58"/>
    <w:rsid w:val="00E17346"/>
    <w:rsid w:val="00E2219B"/>
    <w:rsid w:val="00E22461"/>
    <w:rsid w:val="00E23047"/>
    <w:rsid w:val="00E23270"/>
    <w:rsid w:val="00E23833"/>
    <w:rsid w:val="00E2596F"/>
    <w:rsid w:val="00E309FD"/>
    <w:rsid w:val="00E34DD0"/>
    <w:rsid w:val="00E403D4"/>
    <w:rsid w:val="00E50150"/>
    <w:rsid w:val="00E5049F"/>
    <w:rsid w:val="00E61308"/>
    <w:rsid w:val="00E61E70"/>
    <w:rsid w:val="00E61EE5"/>
    <w:rsid w:val="00E64653"/>
    <w:rsid w:val="00E67E38"/>
    <w:rsid w:val="00E76995"/>
    <w:rsid w:val="00E80E43"/>
    <w:rsid w:val="00E8311C"/>
    <w:rsid w:val="00E85437"/>
    <w:rsid w:val="00E87A04"/>
    <w:rsid w:val="00E922B4"/>
    <w:rsid w:val="00E94534"/>
    <w:rsid w:val="00E97970"/>
    <w:rsid w:val="00EA4003"/>
    <w:rsid w:val="00EA587B"/>
    <w:rsid w:val="00EB0151"/>
    <w:rsid w:val="00EB2B49"/>
    <w:rsid w:val="00EB7ED2"/>
    <w:rsid w:val="00EC43C8"/>
    <w:rsid w:val="00EC5B88"/>
    <w:rsid w:val="00EC6520"/>
    <w:rsid w:val="00ED12D7"/>
    <w:rsid w:val="00ED1806"/>
    <w:rsid w:val="00ED296A"/>
    <w:rsid w:val="00ED3F02"/>
    <w:rsid w:val="00ED457C"/>
    <w:rsid w:val="00EE0B92"/>
    <w:rsid w:val="00EE0F0E"/>
    <w:rsid w:val="00EE19C9"/>
    <w:rsid w:val="00EE45C3"/>
    <w:rsid w:val="00EE68D2"/>
    <w:rsid w:val="00EE6A82"/>
    <w:rsid w:val="00EF14B7"/>
    <w:rsid w:val="00EF44AD"/>
    <w:rsid w:val="00F014F8"/>
    <w:rsid w:val="00F01916"/>
    <w:rsid w:val="00F05715"/>
    <w:rsid w:val="00F13937"/>
    <w:rsid w:val="00F141F1"/>
    <w:rsid w:val="00F17267"/>
    <w:rsid w:val="00F237B1"/>
    <w:rsid w:val="00F2468D"/>
    <w:rsid w:val="00F27587"/>
    <w:rsid w:val="00F307F9"/>
    <w:rsid w:val="00F3131F"/>
    <w:rsid w:val="00F31BE4"/>
    <w:rsid w:val="00F32538"/>
    <w:rsid w:val="00F34A00"/>
    <w:rsid w:val="00F34D93"/>
    <w:rsid w:val="00F365AF"/>
    <w:rsid w:val="00F409D2"/>
    <w:rsid w:val="00F413B3"/>
    <w:rsid w:val="00F46C9B"/>
    <w:rsid w:val="00F50F82"/>
    <w:rsid w:val="00F535FA"/>
    <w:rsid w:val="00F61472"/>
    <w:rsid w:val="00F618F0"/>
    <w:rsid w:val="00F62AEB"/>
    <w:rsid w:val="00F64245"/>
    <w:rsid w:val="00F65201"/>
    <w:rsid w:val="00F656F2"/>
    <w:rsid w:val="00F66A6D"/>
    <w:rsid w:val="00F707BD"/>
    <w:rsid w:val="00F716B7"/>
    <w:rsid w:val="00F72010"/>
    <w:rsid w:val="00F76279"/>
    <w:rsid w:val="00F76428"/>
    <w:rsid w:val="00F77798"/>
    <w:rsid w:val="00F77B4D"/>
    <w:rsid w:val="00F820F7"/>
    <w:rsid w:val="00F82F19"/>
    <w:rsid w:val="00F83A44"/>
    <w:rsid w:val="00F85C22"/>
    <w:rsid w:val="00F86B12"/>
    <w:rsid w:val="00F87AC6"/>
    <w:rsid w:val="00F9126D"/>
    <w:rsid w:val="00F91B05"/>
    <w:rsid w:val="00F91BF1"/>
    <w:rsid w:val="00F94E53"/>
    <w:rsid w:val="00F979AC"/>
    <w:rsid w:val="00FA2246"/>
    <w:rsid w:val="00FA5A8C"/>
    <w:rsid w:val="00FA6353"/>
    <w:rsid w:val="00FB32DE"/>
    <w:rsid w:val="00FB3951"/>
    <w:rsid w:val="00FB7A50"/>
    <w:rsid w:val="00FC0DF5"/>
    <w:rsid w:val="00FC44B5"/>
    <w:rsid w:val="00FC60F3"/>
    <w:rsid w:val="00FC6127"/>
    <w:rsid w:val="00FC7A4D"/>
    <w:rsid w:val="00FD08A0"/>
    <w:rsid w:val="00FD2E42"/>
    <w:rsid w:val="00FD4AA6"/>
    <w:rsid w:val="00FE29AF"/>
    <w:rsid w:val="00FE2B9E"/>
    <w:rsid w:val="00FE6123"/>
    <w:rsid w:val="00FE6555"/>
    <w:rsid w:val="00FF188C"/>
    <w:rsid w:val="00FF2A73"/>
    <w:rsid w:val="00FF3A60"/>
    <w:rsid w:val="00FF51E1"/>
    <w:rsid w:val="00FF5702"/>
    <w:rsid w:val="00FF787E"/>
    <w:rsid w:val="059000EA"/>
    <w:rsid w:val="390F2F66"/>
    <w:rsid w:val="3B0C5488"/>
    <w:rsid w:val="5D7B8D6A"/>
    <w:rsid w:val="9FA833A2"/>
    <w:rsid w:val="F1CF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qFormat/>
    <w:uiPriority w:val="0"/>
    <w:rPr>
      <w:b/>
      <w:bCs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basedOn w:val="12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qFormat/>
    <w:uiPriority w:val="0"/>
    <w:rPr>
      <w:color w:val="0068B7"/>
      <w:u w:val="non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character" w:customStyle="1" w:styleId="17">
    <w:name w:val="141"/>
    <w:qFormat/>
    <w:uiPriority w:val="0"/>
    <w:rPr>
      <w:sz w:val="21"/>
      <w:szCs w:val="21"/>
    </w:rPr>
  </w:style>
  <w:style w:type="character" w:customStyle="1" w:styleId="18">
    <w:name w:val="ztag pre"/>
    <w:basedOn w:val="12"/>
    <w:qFormat/>
    <w:uiPriority w:val="0"/>
  </w:style>
  <w:style w:type="character" w:customStyle="1" w:styleId="19">
    <w:name w:val="已访问的超链接1"/>
    <w:qFormat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uiPriority w:val="0"/>
    <w:rPr>
      <w:b/>
      <w:bCs/>
      <w:kern w:val="2"/>
      <w:sz w:val="21"/>
      <w:szCs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395</Words>
  <Characters>2255</Characters>
  <Lines>18</Lines>
  <Paragraphs>5</Paragraphs>
  <TotalTime>0</TotalTime>
  <ScaleCrop>false</ScaleCrop>
  <LinksUpToDate>false</LinksUpToDate>
  <CharactersWithSpaces>2645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2022-03-16T03:13:00Z</dcterms:created>
  <dc:creator>全美国际教育协会</dc:creator>
  <cp:lastModifiedBy>HP</cp:lastModifiedBy>
  <cp:lastPrinted>2011-12-17T08:54:00Z</cp:lastPrinted>
  <dcterms:modified xsi:type="dcterms:W3CDTF">2023-12-19T14:59:56Z</dcterms:modified>
  <dc:title>加州大学河滨分校短期访学项目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1876F4133C2C441F9963A9EF4841E9E2_13</vt:lpwstr>
  </property>
</Properties>
</file>