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E2" w:rsidRDefault="000731E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“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常春藤名校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”宾夕法尼亚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</w:p>
    <w:p w:rsidR="009C43E2" w:rsidRDefault="000731E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项目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选拔通知</w:t>
      </w:r>
    </w:p>
    <w:p w:rsidR="009C43E2" w:rsidRDefault="000731E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FE7D6A">
        <w:rPr>
          <w:rFonts w:ascii="Calibri" w:hAnsi="Calibri" w:cs="Calibri"/>
          <w:kern w:val="0"/>
          <w:szCs w:val="21"/>
        </w:rPr>
        <w:t>201</w:t>
      </w:r>
      <w:r w:rsidR="00FE7D6A">
        <w:rPr>
          <w:rFonts w:ascii="Calibri" w:hAnsi="Calibri" w:cs="Calibri" w:hint="eastAsia"/>
          <w:kern w:val="0"/>
          <w:szCs w:val="21"/>
        </w:rPr>
        <w:t>8</w:t>
      </w:r>
      <w:r w:rsidR="00FE7D6A" w:rsidRPr="000A0A86">
        <w:rPr>
          <w:rFonts w:ascii="Calibri" w:hAnsi="Calibri" w:cs="Calibri"/>
          <w:kern w:val="0"/>
          <w:szCs w:val="21"/>
        </w:rPr>
        <w:t>年</w:t>
      </w:r>
      <w:r w:rsidR="00FE7D6A" w:rsidRPr="00FE7D6A">
        <w:rPr>
          <w:rFonts w:ascii="Calibri" w:hAnsi="Calibri" w:cs="Calibri" w:hint="eastAsia"/>
          <w:kern w:val="0"/>
          <w:szCs w:val="21"/>
          <w:highlight w:val="yellow"/>
        </w:rPr>
        <w:t>秋</w:t>
      </w:r>
      <w:r w:rsidR="00FE7D6A" w:rsidRPr="000A0A86">
        <w:rPr>
          <w:rFonts w:ascii="Calibri" w:hAnsi="Calibri" w:cs="Calibri"/>
          <w:kern w:val="0"/>
          <w:szCs w:val="21"/>
        </w:rPr>
        <w:t>季</w:t>
      </w:r>
      <w:r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9C43E2" w:rsidRDefault="009C43E2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</w:p>
    <w:p w:rsidR="009C43E2" w:rsidRDefault="000731E5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9C43E2" w:rsidRDefault="000731E5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kern w:val="0"/>
          <w:szCs w:val="21"/>
          <w:highlight w:val="yellow"/>
        </w:rPr>
      </w:pPr>
      <w:r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2018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</w:t>
      </w:r>
      <w:r w:rsidR="009B5217" w:rsidRPr="005F5B46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季，我校将选派指定名额的优秀在校生前往常春藤名校美国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宾夕法尼亚大学（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University of Pennsylvania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，参加一学期的访问学习。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2018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年</w:t>
      </w:r>
      <w:r w:rsidR="00FE7D6A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秋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季大学专业学分课程，我校选拔名额为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名，报名截止日期为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201</w:t>
      </w:r>
      <w:r w:rsidR="00FE7D6A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8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年</w:t>
      </w:r>
      <w:r w:rsidR="00FE7D6A"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4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月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30</w:t>
      </w:r>
      <w:r>
        <w:rPr>
          <w:rFonts w:asciiTheme="minorHAnsi" w:eastAsiaTheme="majorEastAsia" w:hAnsiTheme="minorHAnsi" w:cstheme="minorHAnsi" w:hint="eastAsia"/>
          <w:kern w:val="0"/>
          <w:szCs w:val="21"/>
          <w:highlight w:val="yellow"/>
        </w:rPr>
        <w:t>日。</w:t>
      </w:r>
    </w:p>
    <w:p w:rsidR="009C43E2" w:rsidRDefault="009C43E2">
      <w:pPr>
        <w:widowControl/>
        <w:spacing w:line="360" w:lineRule="auto"/>
        <w:rPr>
          <w:rFonts w:asciiTheme="minorHAnsi" w:eastAsiaTheme="majorEastAsia" w:hAnsiTheme="minorHAnsi" w:cstheme="minorHAnsi"/>
          <w:color w:val="000000"/>
          <w:szCs w:val="21"/>
        </w:rPr>
      </w:pPr>
    </w:p>
    <w:p w:rsidR="009C43E2" w:rsidRDefault="000731E5">
      <w:pPr>
        <w:widowControl/>
        <w:numPr>
          <w:ilvl w:val="0"/>
          <w:numId w:val="1"/>
        </w:num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9C43E2" w:rsidRDefault="000731E5">
      <w:pPr>
        <w:widowControl/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宾夕法尼亚大学简介</w:t>
      </w:r>
    </w:p>
    <w:p w:rsidR="009C43E2" w:rsidRDefault="000731E5">
      <w:pPr>
        <w:widowControl/>
        <w:spacing w:line="360" w:lineRule="auto"/>
        <w:ind w:firstLine="420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位于美国的历史名城、宾夕法尼亚州最大城市—费城，宾夕法尼亚大学（简称宾大）由美国著名科学家及政治家本杰明•富兰克林创建于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1740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年，是美国第四古老的高等教育机构，也是美国第一所现代意义上的大学。宾大与耶鲁、哈佛、普林斯顿、康奈尔等八所大学共同组成“常春藤联盟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(Ivy League)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”，成为世界顶尖学府的代名词。宾夕法尼亚大学还创立了北美第一所医学院、第一所商学院（</w:t>
      </w:r>
      <w:proofErr w:type="gramStart"/>
      <w:r>
        <w:rPr>
          <w:rFonts w:asciiTheme="minorHAnsi" w:eastAsiaTheme="majorEastAsia" w:hAnsiTheme="minorHAnsi" w:cstheme="minorHAnsi" w:hint="eastAsia"/>
          <w:kern w:val="0"/>
          <w:szCs w:val="21"/>
        </w:rPr>
        <w:t>沃顿商学院</w:t>
      </w:r>
      <w:proofErr w:type="gramEnd"/>
      <w:r>
        <w:rPr>
          <w:rFonts w:asciiTheme="minorHAnsi" w:eastAsiaTheme="majorEastAsia" w:hAnsiTheme="minorHAnsi" w:cstheme="minorHAnsi" w:hint="eastAsia"/>
          <w:kern w:val="0"/>
          <w:szCs w:val="21"/>
        </w:rPr>
        <w:t>）以及第一个学生会组织。其金融专业和护理专业排名全美第一，教育学、经济学、医疗、历史学、法学、英语及商科其它专业皆排名全美前十。宾大校园环境优美，建筑独具特色，融合了英国牛津大学与剑桥大学的建筑风格。</w:t>
      </w:r>
    </w:p>
    <w:p w:rsidR="00FE7D6A" w:rsidRPr="00FE7D6A" w:rsidRDefault="00FE7D6A" w:rsidP="00FE7D6A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  <w:highlight w:val="yellow"/>
        </w:rPr>
      </w:pP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在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201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年</w:t>
      </w:r>
      <w:r w:rsidRPr="00FE7D6A">
        <w:rPr>
          <w:rFonts w:asciiTheme="minorHAnsi" w:hAnsiTheme="minorHAnsi" w:cstheme="minorHAnsi"/>
          <w:kern w:val="0"/>
          <w:szCs w:val="21"/>
          <w:highlight w:val="yellow"/>
        </w:rPr>
        <w:t>《美国新闻与世界报道》发布的美国大学权威排名中，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宾夕法尼亚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大学在全</w:t>
      </w:r>
    </w:p>
    <w:p w:rsidR="00FE7D6A" w:rsidRDefault="00FE7D6A" w:rsidP="00FE7D6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美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4000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多所高校综合排名第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名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、世界大学排名第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19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名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；在</w:t>
      </w:r>
      <w:r w:rsidRPr="00FE7D6A">
        <w:rPr>
          <w:rFonts w:asciiTheme="minorHAnsi" w:hAnsiTheme="minorHAnsi" w:cstheme="minorHAnsi"/>
          <w:szCs w:val="21"/>
          <w:highlight w:val="yellow"/>
        </w:rPr>
        <w:t>201</w:t>
      </w:r>
      <w:r w:rsidRPr="00FE7D6A">
        <w:rPr>
          <w:rFonts w:asciiTheme="minorHAnsi" w:hAnsiTheme="minorHAnsi" w:cstheme="minorHAnsi" w:hint="eastAsia"/>
          <w:szCs w:val="21"/>
          <w:highlight w:val="yellow"/>
        </w:rPr>
        <w:t>8</w:t>
      </w:r>
      <w:r w:rsidRPr="00FE7D6A">
        <w:rPr>
          <w:rFonts w:asciiTheme="minorHAnsi" w:hAnsiTheme="minorHAnsi" w:cstheme="minorHAnsi" w:hint="eastAsia"/>
          <w:szCs w:val="21"/>
          <w:highlight w:val="yellow"/>
        </w:rPr>
        <w:t>年</w:t>
      </w:r>
      <w:r w:rsidRPr="00FE7D6A">
        <w:rPr>
          <w:rFonts w:asciiTheme="minorHAnsi" w:hAnsiTheme="minorHAnsi" w:cstheme="minorHAnsi" w:hint="eastAsia"/>
          <w:szCs w:val="21"/>
          <w:highlight w:val="yellow"/>
        </w:rPr>
        <w:t>Times</w:t>
      </w:r>
      <w:r w:rsidRPr="00FE7D6A">
        <w:rPr>
          <w:rFonts w:asciiTheme="minorHAnsi" w:hAnsiTheme="minorHAnsi" w:cstheme="minorHAnsi"/>
          <w:szCs w:val="21"/>
          <w:highlight w:val="yellow"/>
        </w:rPr>
        <w:t>世界大学排名中，</w:t>
      </w:r>
      <w:r w:rsidRPr="00FE7D6A">
        <w:rPr>
          <w:rFonts w:asciiTheme="minorHAnsi" w:hAnsiTheme="minorHAnsi" w:cstheme="minorHAnsi" w:hint="eastAsia"/>
          <w:szCs w:val="21"/>
          <w:highlight w:val="yellow"/>
        </w:rPr>
        <w:t>宾夕法尼亚大学</w:t>
      </w:r>
      <w:r w:rsidRPr="00FE7D6A">
        <w:rPr>
          <w:rFonts w:asciiTheme="minorHAnsi" w:hAnsiTheme="minorHAnsi" w:cstheme="minorHAnsi"/>
          <w:szCs w:val="21"/>
          <w:highlight w:val="yellow"/>
        </w:rPr>
        <w:t>位列第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1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0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位。在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2017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Pr="00FE7D6A">
        <w:rPr>
          <w:rFonts w:asciiTheme="minorHAnsi" w:hAnsiTheme="minorHAnsi" w:cstheme="minorHAnsi"/>
          <w:szCs w:val="21"/>
          <w:highlight w:val="yellow"/>
        </w:rPr>
        <w:t>上海交通大学发布的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全球高校学术排名中，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宾夕法尼亚大学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位于第</w:t>
      </w:r>
      <w:r w:rsidRPr="00FE7D6A">
        <w:rPr>
          <w:rFonts w:asciiTheme="minorHAnsi" w:eastAsiaTheme="majorEastAsia" w:hAnsiTheme="minorHAnsi" w:cstheme="minorHAnsi" w:hint="eastAsia"/>
          <w:szCs w:val="21"/>
          <w:highlight w:val="yellow"/>
        </w:rPr>
        <w:t>17</w:t>
      </w:r>
      <w:r w:rsidRPr="00FE7D6A">
        <w:rPr>
          <w:rFonts w:asciiTheme="minorHAnsi" w:eastAsiaTheme="majorEastAsia" w:hAnsiTheme="minorHAnsi" w:cstheme="minorHAnsi"/>
          <w:szCs w:val="21"/>
          <w:highlight w:val="yellow"/>
        </w:rPr>
        <w:t>名；</w:t>
      </w:r>
    </w:p>
    <w:p w:rsidR="009C43E2" w:rsidRDefault="000731E5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ab/>
      </w:r>
      <w:r>
        <w:rPr>
          <w:rFonts w:asciiTheme="minorHAnsi" w:eastAsiaTheme="majorEastAsia" w:hAnsiTheme="minorHAnsi" w:cstheme="minorHAnsi" w:hint="eastAsia"/>
          <w:szCs w:val="21"/>
        </w:rPr>
        <w:t>宾夕法尼亚大学下设四个大本科生院：文理学院（</w:t>
      </w:r>
      <w:r>
        <w:rPr>
          <w:rFonts w:asciiTheme="minorHAnsi" w:eastAsiaTheme="majorEastAsia" w:hAnsiTheme="minorHAnsi" w:cstheme="minorHAnsi" w:hint="eastAsia"/>
          <w:szCs w:val="21"/>
        </w:rPr>
        <w:t xml:space="preserve">School of Arts </w:t>
      </w:r>
      <w:r>
        <w:rPr>
          <w:rFonts w:asciiTheme="minorHAnsi" w:eastAsiaTheme="majorEastAsia" w:hAnsiTheme="minorHAnsi" w:cstheme="minorHAnsi"/>
          <w:szCs w:val="21"/>
        </w:rPr>
        <w:t>and</w:t>
      </w:r>
      <w:r>
        <w:rPr>
          <w:rFonts w:asciiTheme="minorHAnsi" w:eastAsiaTheme="majorEastAsia" w:hAnsiTheme="minorHAnsi" w:cstheme="minorHAnsi" w:hint="eastAsia"/>
          <w:szCs w:val="21"/>
        </w:rPr>
        <w:t xml:space="preserve"> Science</w:t>
      </w:r>
      <w:r>
        <w:rPr>
          <w:rFonts w:asciiTheme="minorHAnsi" w:eastAsiaTheme="majorEastAsia" w:hAnsiTheme="minorHAnsi" w:cstheme="minorHAnsi" w:hint="eastAsia"/>
          <w:szCs w:val="21"/>
        </w:rPr>
        <w:t>）、工程学院、商学院及护理学院。文理学院是宾大最大的本科生院，承担了宾大本科生院</w:t>
      </w:r>
      <w:r>
        <w:rPr>
          <w:rFonts w:asciiTheme="minorHAnsi" w:eastAsiaTheme="majorEastAsia" w:hAnsiTheme="minorHAnsi" w:cstheme="minorHAnsi" w:hint="eastAsia"/>
          <w:szCs w:val="21"/>
        </w:rPr>
        <w:t>60%</w:t>
      </w:r>
      <w:r>
        <w:rPr>
          <w:rFonts w:asciiTheme="minorHAnsi" w:eastAsiaTheme="majorEastAsia" w:hAnsiTheme="minorHAnsi" w:cstheme="minorHAnsi" w:hint="eastAsia"/>
          <w:szCs w:val="21"/>
        </w:rPr>
        <w:t>的教学任务，为各专业方向学生提供基础学科的教学。</w:t>
      </w:r>
    </w:p>
    <w:p w:rsidR="009C43E2" w:rsidRDefault="000731E5">
      <w:pPr>
        <w:spacing w:line="360" w:lineRule="auto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/>
          <w:b/>
          <w:szCs w:val="21"/>
        </w:rPr>
        <w:t>访学</w:t>
      </w:r>
      <w:r>
        <w:rPr>
          <w:rFonts w:asciiTheme="minorHAnsi" w:eastAsiaTheme="majorEastAsia" w:hAnsiTheme="minorHAnsi" w:cstheme="minorHAnsi" w:hint="eastAsia"/>
          <w:b/>
          <w:szCs w:val="21"/>
        </w:rPr>
        <w:t>时间及专业方向</w:t>
      </w:r>
    </w:p>
    <w:p w:rsidR="009C43E2" w:rsidRDefault="000731E5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参加项目的学生与宾夕法尼亚大学在读学生混合编班，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由宾大进行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统一的学术管理与学术考核，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获得宾大正式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成绩单及学习证明。</w:t>
      </w:r>
    </w:p>
    <w:p w:rsidR="009C43E2" w:rsidRDefault="000731E5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u w:val="single"/>
        </w:rPr>
      </w:pPr>
      <w:r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9C43E2" w:rsidRPr="004D711F" w:rsidRDefault="000731E5" w:rsidP="004D711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访学时间：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8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28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日</w:t>
      </w:r>
      <w:r w:rsidR="004D711F" w:rsidRPr="004D711F">
        <w:rPr>
          <w:rFonts w:asciiTheme="minorHAnsi" w:eastAsiaTheme="majorEastAsia" w:hAnsiTheme="minorHAnsi" w:cstheme="minorHAnsi"/>
          <w:szCs w:val="21"/>
          <w:highlight w:val="yellow"/>
        </w:rPr>
        <w:t>–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2018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年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12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月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20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日（根据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2017</w:t>
      </w:r>
      <w:r w:rsidR="004D711F"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年日期预估，以校方最终公布的日期为准）</w:t>
      </w:r>
      <w:bookmarkStart w:id="0" w:name="_GoBack"/>
      <w:bookmarkEnd w:id="0"/>
    </w:p>
    <w:p w:rsidR="009C43E2" w:rsidRDefault="000731E5">
      <w:pPr>
        <w:widowControl/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本校、全美国际教育协会、以及宾夕法尼亚大学的共同</w:t>
      </w:r>
      <w:r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可以与宾大</w:t>
      </w:r>
      <w:r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>
        <w:rPr>
          <w:rFonts w:asciiTheme="minorHAnsi" w:eastAsiaTheme="majorEastAsia" w:hAnsiTheme="minorHAnsi" w:cstheme="minorHAnsi"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。大学学分课程面向本校大多数专业的学生，学生一学期需选择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门专业课，选课范围为至少两门文理学院课程，也可申请选修其他学院课程，</w:t>
      </w:r>
      <w:proofErr w:type="gramStart"/>
      <w:r>
        <w:rPr>
          <w:rFonts w:asciiTheme="minorHAnsi" w:eastAsiaTheme="majorEastAsia" w:hAnsiTheme="minorHAnsi" w:cstheme="minorHAnsi" w:hint="eastAsia"/>
          <w:szCs w:val="21"/>
        </w:rPr>
        <w:t>包括沃顿商学院</w:t>
      </w:r>
      <w:proofErr w:type="gramEnd"/>
      <w:r>
        <w:rPr>
          <w:rFonts w:asciiTheme="minorHAnsi" w:eastAsiaTheme="majorEastAsia" w:hAnsiTheme="minorHAnsi" w:cstheme="minorHAnsi" w:hint="eastAsia"/>
          <w:szCs w:val="21"/>
        </w:rPr>
        <w:t>、工程学院和护理学院的课程。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 w:hint="eastAsia"/>
          <w:szCs w:val="21"/>
        </w:rPr>
        <w:t>宾夕法尼亚</w:t>
      </w:r>
      <w:r>
        <w:rPr>
          <w:rFonts w:asciiTheme="minorHAnsi" w:eastAsiaTheme="majorEastAsia" w:hAnsiTheme="minorHAnsi" w:cstheme="minorHAnsi"/>
          <w:szCs w:val="21"/>
        </w:rPr>
        <w:t>大学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9C43E2" w:rsidRDefault="000731E5">
      <w:pPr>
        <w:widowControl/>
        <w:spacing w:line="360" w:lineRule="auto"/>
        <w:rPr>
          <w:rFonts w:asciiTheme="minorHAnsi" w:eastAsiaTheme="majorEastAsia" w:hAnsiTheme="minorHAnsi" w:cstheme="minorHAnsi"/>
          <w:bCs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4D711F" w:rsidRPr="004D711F" w:rsidRDefault="004D711F" w:rsidP="004D711F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  <w:highlight w:val="yellow"/>
        </w:rPr>
      </w:pPr>
      <w:r w:rsidRPr="004D711F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（参照</w:t>
      </w:r>
      <w:r w:rsidRPr="004D711F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2017</w:t>
      </w:r>
      <w:r w:rsidRPr="004D711F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年费用标准，最终以宾夕法尼亚大学公布的</w:t>
      </w:r>
      <w:r w:rsidRPr="004D711F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2018</w:t>
      </w:r>
      <w:r w:rsidRPr="004D711F">
        <w:rPr>
          <w:rFonts w:asciiTheme="minorHAnsi" w:eastAsiaTheme="majorEastAsia" w:hAnsiTheme="minorHAnsi" w:cstheme="minorHAnsi" w:hint="eastAsia"/>
          <w:bCs/>
          <w:kern w:val="0"/>
          <w:szCs w:val="21"/>
          <w:highlight w:val="yellow"/>
        </w:rPr>
        <w:t>年数额为准）</w:t>
      </w:r>
    </w:p>
    <w:p w:rsidR="00176F0B" w:rsidRDefault="004D711F" w:rsidP="004D711F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  <w:highlight w:val="yellow"/>
        </w:rPr>
      </w:pP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根据学生选课所属院系的不同，专业学分课程一学期的项目费用略有差别，在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1.9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12.8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万元）至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3.1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万美元（约合人民币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20.7</w:t>
      </w: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万元）。</w:t>
      </w:r>
    </w:p>
    <w:p w:rsidR="004D711F" w:rsidRDefault="004D711F" w:rsidP="004D711F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4D711F">
        <w:rPr>
          <w:rFonts w:asciiTheme="minorHAnsi" w:eastAsiaTheme="majorEastAsia" w:hAnsiTheme="minorHAnsi" w:cstheme="minorHAnsi" w:hint="eastAsia"/>
          <w:szCs w:val="21"/>
          <w:highlight w:val="yellow"/>
        </w:rPr>
        <w:t>总费用包括学杂费、在读期间医疗保险、及项目设计与管理费，不含住宿费、生活费与机票。</w:t>
      </w:r>
    </w:p>
    <w:p w:rsidR="009C43E2" w:rsidRPr="004D711F" w:rsidRDefault="009C43E2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:rsidR="009C43E2" w:rsidRDefault="000731E5">
      <w:pPr>
        <w:pStyle w:val="10"/>
        <w:widowControl/>
        <w:numPr>
          <w:ilvl w:val="0"/>
          <w:numId w:val="1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9C43E2" w:rsidRDefault="000731E5">
      <w:pPr>
        <w:pStyle w:val="10"/>
        <w:spacing w:line="360" w:lineRule="auto"/>
        <w:ind w:left="21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、</w:t>
      </w:r>
      <w:r>
        <w:rPr>
          <w:rFonts w:asciiTheme="minorHAnsi" w:eastAsiaTheme="majorEastAsia" w:hAnsiTheme="minorHAnsi" w:cstheme="minorHAnsi"/>
          <w:szCs w:val="21"/>
        </w:rPr>
        <w:t>仅限本校</w:t>
      </w:r>
      <w:r>
        <w:rPr>
          <w:rFonts w:asciiTheme="minorHAnsi" w:eastAsiaTheme="majorEastAsia" w:hAnsiTheme="minorHAnsi" w:cstheme="minorHAnsi" w:hint="eastAsia"/>
          <w:szCs w:val="21"/>
        </w:rPr>
        <w:t>全日制在校生；且成绩优异、道德品质好，在校期间未受过纪律处分，身心健康，能顺利完成在美学习任务；</w:t>
      </w:r>
    </w:p>
    <w:p w:rsidR="009C43E2" w:rsidRDefault="000731E5">
      <w:pPr>
        <w:pStyle w:val="10"/>
        <w:spacing w:line="360" w:lineRule="auto"/>
        <w:ind w:left="21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</w:t>
      </w:r>
      <w:r>
        <w:rPr>
          <w:rFonts w:asciiTheme="minorHAnsi" w:eastAsiaTheme="majorEastAsia" w:hAnsiTheme="minorHAnsi" w:cstheme="minorHAnsi" w:hint="eastAsia"/>
          <w:szCs w:val="21"/>
        </w:rPr>
        <w:t>、申请要求</w:t>
      </w:r>
      <w:r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9C43E2" w:rsidRDefault="000731E5">
      <w:pPr>
        <w:pStyle w:val="10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b/>
          <w:szCs w:val="21"/>
        </w:rPr>
        <w:t>大学</w:t>
      </w:r>
      <w:r>
        <w:rPr>
          <w:rFonts w:asciiTheme="minorHAnsi" w:eastAsiaTheme="majorEastAsia" w:hAnsiTheme="minorHAnsi" w:cstheme="minorHAnsi" w:hint="eastAsia"/>
          <w:b/>
          <w:szCs w:val="21"/>
        </w:rPr>
        <w:t>专业</w:t>
      </w:r>
      <w:r>
        <w:rPr>
          <w:rFonts w:asciiTheme="minorHAnsi" w:eastAsiaTheme="majorEastAsia" w:hAnsiTheme="minorHAnsi" w:cstheme="minorHAnsi"/>
          <w:b/>
          <w:szCs w:val="21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：</w:t>
      </w:r>
      <w:r>
        <w:rPr>
          <w:rFonts w:asciiTheme="minorHAnsi" w:eastAsiaTheme="majorEastAsia" w:hAnsiTheme="minorHAnsi" w:cstheme="minorHAnsi"/>
          <w:szCs w:val="21"/>
        </w:rPr>
        <w:t>托福</w:t>
      </w:r>
      <w:r>
        <w:rPr>
          <w:rFonts w:asciiTheme="minorHAnsi" w:eastAsiaTheme="majorEastAsia" w:hAnsiTheme="minorHAnsi" w:cstheme="minorHAnsi" w:hint="eastAsia"/>
          <w:szCs w:val="21"/>
        </w:rPr>
        <w:t>10</w:t>
      </w:r>
      <w:r>
        <w:rPr>
          <w:rFonts w:asciiTheme="minorHAnsi" w:eastAsiaTheme="majorEastAsia" w:hAnsiTheme="minorHAnsi" w:cstheme="minorHAnsi"/>
          <w:szCs w:val="21"/>
        </w:rPr>
        <w:t>0</w:t>
      </w:r>
      <w:r>
        <w:rPr>
          <w:rFonts w:asciiTheme="minorHAnsi" w:eastAsiaTheme="majorEastAsia" w:hAnsiTheme="minorHAnsi" w:cstheme="minorHAnsi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或</w:t>
      </w:r>
      <w:r>
        <w:rPr>
          <w:rFonts w:asciiTheme="minorHAnsi" w:eastAsiaTheme="majorEastAsia" w:hAnsiTheme="minorHAnsi" w:cstheme="minorHAnsi"/>
          <w:szCs w:val="21"/>
        </w:rPr>
        <w:t>雅思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>
        <w:rPr>
          <w:rFonts w:asciiTheme="minorHAnsi" w:eastAsiaTheme="majorEastAsia" w:hAnsiTheme="minorHAnsi" w:cstheme="minorHAnsi"/>
          <w:szCs w:val="21"/>
        </w:rPr>
        <w:t>.</w:t>
      </w:r>
      <w:r>
        <w:rPr>
          <w:rFonts w:asciiTheme="minorHAnsi" w:eastAsiaTheme="majorEastAsia" w:hAnsiTheme="minorHAnsi" w:cstheme="minorHAnsi" w:hint="eastAsia"/>
          <w:szCs w:val="21"/>
        </w:rPr>
        <w:t>0</w:t>
      </w:r>
      <w:r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GPA3.3</w:t>
      </w:r>
      <w:r>
        <w:rPr>
          <w:rFonts w:asciiTheme="minorHAnsi" w:eastAsiaTheme="majorEastAsia" w:hAnsiTheme="minorHAnsi" w:cstheme="minorHAnsi" w:hint="eastAsia"/>
          <w:szCs w:val="21"/>
        </w:rPr>
        <w:t>（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分制）</w:t>
      </w:r>
      <w:r>
        <w:rPr>
          <w:rFonts w:asciiTheme="minorHAnsi" w:eastAsiaTheme="majorEastAsia" w:hAnsiTheme="minorHAnsi" w:cstheme="minorHAnsi"/>
          <w:szCs w:val="21"/>
        </w:rPr>
        <w:t>；</w:t>
      </w:r>
      <w:r>
        <w:rPr>
          <w:rFonts w:asciiTheme="minorHAnsi" w:eastAsiaTheme="majorEastAsia" w:hAnsiTheme="minorHAnsi" w:cstheme="minorHAnsi" w:hint="eastAsia"/>
          <w:szCs w:val="21"/>
        </w:rPr>
        <w:t>大二或大二年级以上学生方可申请。</w:t>
      </w:r>
    </w:p>
    <w:p w:rsidR="009C43E2" w:rsidRDefault="000731E5">
      <w:pPr>
        <w:pStyle w:val="10"/>
        <w:spacing w:line="360" w:lineRule="auto"/>
        <w:ind w:left="210" w:firstLineChars="0" w:firstLine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、家庭具有一定经济基础，能够提供访学所需学费及生活费；</w:t>
      </w:r>
    </w:p>
    <w:p w:rsidR="009C43E2" w:rsidRDefault="000731E5">
      <w:pPr>
        <w:pStyle w:val="10"/>
        <w:spacing w:line="360" w:lineRule="auto"/>
        <w:ind w:left="210" w:firstLineChars="0" w:firstLine="0"/>
        <w:rPr>
          <w:rFonts w:asciiTheme="minorHAnsi" w:eastAsiaTheme="majorEastAsia" w:hAnsiTheme="minorHAnsi" w:cstheme="minorHAnsi"/>
          <w:szCs w:val="21"/>
          <w:highlight w:val="yellow"/>
        </w:rPr>
      </w:pPr>
      <w:r>
        <w:rPr>
          <w:rFonts w:asciiTheme="minorHAnsi" w:eastAsiaTheme="majorEastAsia" w:hAnsiTheme="minorHAnsi" w:cstheme="minorHAnsi" w:hint="eastAsia"/>
          <w:szCs w:val="21"/>
        </w:rPr>
        <w:t>4</w:t>
      </w:r>
      <w:r>
        <w:rPr>
          <w:rFonts w:asciiTheme="minorHAnsi" w:eastAsiaTheme="majorEastAsia" w:hAnsiTheme="minorHAnsi" w:cstheme="minorHAnsi" w:hint="eastAsia"/>
          <w:szCs w:val="21"/>
        </w:rPr>
        <w:t>、通过全美国际教育协会的项目面试、宾夕法尼亚大学的学术审核、以及</w:t>
      </w:r>
      <w:r>
        <w:rPr>
          <w:rFonts w:asciiTheme="minorHAnsi" w:eastAsiaTheme="majorEastAsia" w:hAnsiTheme="minorHAnsi" w:cstheme="minorHAnsi" w:hint="eastAsia"/>
          <w:szCs w:val="21"/>
          <w:highlight w:val="yellow"/>
        </w:rPr>
        <w:t>我校院系及</w:t>
      </w:r>
    </w:p>
    <w:p w:rsidR="009C43E2" w:rsidRPr="00176F0B" w:rsidRDefault="000731E5" w:rsidP="00176F0B">
      <w:pPr>
        <w:pStyle w:val="10"/>
        <w:tabs>
          <w:tab w:val="left" w:pos="0"/>
        </w:tabs>
        <w:spacing w:line="360" w:lineRule="auto"/>
        <w:ind w:left="230" w:firstLineChars="0" w:hanging="1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  <w:highlight w:val="yellow"/>
        </w:rPr>
        <w:t>国际交流处</w:t>
      </w:r>
      <w:r>
        <w:rPr>
          <w:rFonts w:asciiTheme="minorHAnsi" w:eastAsiaTheme="majorEastAsia" w:hAnsiTheme="minorHAnsi" w:cstheme="minorHAnsi" w:hint="eastAsia"/>
          <w:szCs w:val="21"/>
        </w:rPr>
        <w:t>的派出资格审核</w:t>
      </w:r>
      <w:r>
        <w:rPr>
          <w:rFonts w:asciiTheme="minorHAnsi" w:eastAsiaTheme="majorEastAsia" w:hAnsiTheme="minorHAnsi" w:cstheme="minorHAnsi"/>
          <w:szCs w:val="21"/>
        </w:rPr>
        <w:t>。</w:t>
      </w:r>
    </w:p>
    <w:sectPr w:rsidR="009C43E2" w:rsidRPr="00176F0B" w:rsidSect="009C43E2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22" w:rsidRDefault="00384F22" w:rsidP="009C43E2">
      <w:r>
        <w:separator/>
      </w:r>
    </w:p>
  </w:endnote>
  <w:endnote w:type="continuationSeparator" w:id="0">
    <w:p w:rsidR="00384F22" w:rsidRDefault="00384F22" w:rsidP="009C4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22" w:rsidRDefault="00384F22" w:rsidP="009C43E2">
      <w:r>
        <w:separator/>
      </w:r>
    </w:p>
  </w:footnote>
  <w:footnote w:type="continuationSeparator" w:id="0">
    <w:p w:rsidR="00384F22" w:rsidRDefault="00384F22" w:rsidP="009C4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3E2" w:rsidRDefault="009C43E2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04196"/>
    <w:multiLevelType w:val="multilevel"/>
    <w:tmpl w:val="7A804196"/>
    <w:lvl w:ilvl="0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0A8F"/>
    <w:rsid w:val="000035D7"/>
    <w:rsid w:val="00005465"/>
    <w:rsid w:val="00006712"/>
    <w:rsid w:val="00010F31"/>
    <w:rsid w:val="000169DD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62BD"/>
    <w:rsid w:val="00040016"/>
    <w:rsid w:val="000402B0"/>
    <w:rsid w:val="00041148"/>
    <w:rsid w:val="00041BDA"/>
    <w:rsid w:val="00044B87"/>
    <w:rsid w:val="00046229"/>
    <w:rsid w:val="000519A2"/>
    <w:rsid w:val="00051A3D"/>
    <w:rsid w:val="0005389A"/>
    <w:rsid w:val="00060047"/>
    <w:rsid w:val="0006181E"/>
    <w:rsid w:val="00065242"/>
    <w:rsid w:val="000731E5"/>
    <w:rsid w:val="000820F9"/>
    <w:rsid w:val="000840CC"/>
    <w:rsid w:val="00090FC4"/>
    <w:rsid w:val="0009206E"/>
    <w:rsid w:val="000954F4"/>
    <w:rsid w:val="000A03BA"/>
    <w:rsid w:val="000A0A86"/>
    <w:rsid w:val="000A2A22"/>
    <w:rsid w:val="000A4030"/>
    <w:rsid w:val="000A5251"/>
    <w:rsid w:val="000A5300"/>
    <w:rsid w:val="000B1A29"/>
    <w:rsid w:val="000C2F7C"/>
    <w:rsid w:val="000C3F5B"/>
    <w:rsid w:val="000C4E56"/>
    <w:rsid w:val="000C5C18"/>
    <w:rsid w:val="000C7850"/>
    <w:rsid w:val="000C7F9A"/>
    <w:rsid w:val="000D3060"/>
    <w:rsid w:val="000D4BC5"/>
    <w:rsid w:val="000E1209"/>
    <w:rsid w:val="000E71FC"/>
    <w:rsid w:val="000F168E"/>
    <w:rsid w:val="000F6E7C"/>
    <w:rsid w:val="001013E1"/>
    <w:rsid w:val="0010196F"/>
    <w:rsid w:val="001051AF"/>
    <w:rsid w:val="00106BA3"/>
    <w:rsid w:val="00110B1F"/>
    <w:rsid w:val="00110EDA"/>
    <w:rsid w:val="0011231F"/>
    <w:rsid w:val="00112EFC"/>
    <w:rsid w:val="001131EA"/>
    <w:rsid w:val="00116EF3"/>
    <w:rsid w:val="00120A5E"/>
    <w:rsid w:val="0012340B"/>
    <w:rsid w:val="0012488E"/>
    <w:rsid w:val="00124B0D"/>
    <w:rsid w:val="00125024"/>
    <w:rsid w:val="00127FE8"/>
    <w:rsid w:val="00131D30"/>
    <w:rsid w:val="00134011"/>
    <w:rsid w:val="00135F93"/>
    <w:rsid w:val="00137744"/>
    <w:rsid w:val="001414C6"/>
    <w:rsid w:val="00143294"/>
    <w:rsid w:val="00146AB9"/>
    <w:rsid w:val="00167799"/>
    <w:rsid w:val="00170451"/>
    <w:rsid w:val="001738F0"/>
    <w:rsid w:val="00176F0B"/>
    <w:rsid w:val="00176F21"/>
    <w:rsid w:val="00182E04"/>
    <w:rsid w:val="001834A2"/>
    <w:rsid w:val="00186190"/>
    <w:rsid w:val="00192C0F"/>
    <w:rsid w:val="001A0C7A"/>
    <w:rsid w:val="001A281F"/>
    <w:rsid w:val="001A7D56"/>
    <w:rsid w:val="001B1730"/>
    <w:rsid w:val="001C1A51"/>
    <w:rsid w:val="001C6985"/>
    <w:rsid w:val="001D4042"/>
    <w:rsid w:val="001D458C"/>
    <w:rsid w:val="001D4EF4"/>
    <w:rsid w:val="001E31D7"/>
    <w:rsid w:val="001E5D98"/>
    <w:rsid w:val="001F5524"/>
    <w:rsid w:val="00201963"/>
    <w:rsid w:val="00202030"/>
    <w:rsid w:val="00203BFF"/>
    <w:rsid w:val="002133F2"/>
    <w:rsid w:val="0021711E"/>
    <w:rsid w:val="002202A8"/>
    <w:rsid w:val="00220E2D"/>
    <w:rsid w:val="002211FB"/>
    <w:rsid w:val="00221E8C"/>
    <w:rsid w:val="0022214B"/>
    <w:rsid w:val="0022510D"/>
    <w:rsid w:val="002274D9"/>
    <w:rsid w:val="002441C6"/>
    <w:rsid w:val="002449A1"/>
    <w:rsid w:val="00251642"/>
    <w:rsid w:val="00255140"/>
    <w:rsid w:val="00261406"/>
    <w:rsid w:val="00261C11"/>
    <w:rsid w:val="00271BCB"/>
    <w:rsid w:val="00275270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2028"/>
    <w:rsid w:val="002C229B"/>
    <w:rsid w:val="002C27D4"/>
    <w:rsid w:val="002C3134"/>
    <w:rsid w:val="002C6AEB"/>
    <w:rsid w:val="002C722D"/>
    <w:rsid w:val="002D04D0"/>
    <w:rsid w:val="002D76B2"/>
    <w:rsid w:val="002D7905"/>
    <w:rsid w:val="002D7B20"/>
    <w:rsid w:val="002E1476"/>
    <w:rsid w:val="002E3299"/>
    <w:rsid w:val="002E4985"/>
    <w:rsid w:val="002E64CC"/>
    <w:rsid w:val="002F1A53"/>
    <w:rsid w:val="002F3568"/>
    <w:rsid w:val="002F7AB9"/>
    <w:rsid w:val="0030157A"/>
    <w:rsid w:val="00302995"/>
    <w:rsid w:val="00303D3D"/>
    <w:rsid w:val="0031712B"/>
    <w:rsid w:val="0032092A"/>
    <w:rsid w:val="00321528"/>
    <w:rsid w:val="00321717"/>
    <w:rsid w:val="00321D5F"/>
    <w:rsid w:val="00325682"/>
    <w:rsid w:val="00330EF0"/>
    <w:rsid w:val="00333C15"/>
    <w:rsid w:val="00342D9D"/>
    <w:rsid w:val="00342E7E"/>
    <w:rsid w:val="003440CB"/>
    <w:rsid w:val="00352A1D"/>
    <w:rsid w:val="00353816"/>
    <w:rsid w:val="00361C8E"/>
    <w:rsid w:val="00361CCF"/>
    <w:rsid w:val="00364A0C"/>
    <w:rsid w:val="003738EA"/>
    <w:rsid w:val="00375491"/>
    <w:rsid w:val="00376E91"/>
    <w:rsid w:val="003822A8"/>
    <w:rsid w:val="00383DCC"/>
    <w:rsid w:val="00384F22"/>
    <w:rsid w:val="00386A4E"/>
    <w:rsid w:val="00386C51"/>
    <w:rsid w:val="00387362"/>
    <w:rsid w:val="00390C9A"/>
    <w:rsid w:val="00390FCA"/>
    <w:rsid w:val="00392494"/>
    <w:rsid w:val="00394A95"/>
    <w:rsid w:val="00396306"/>
    <w:rsid w:val="00397742"/>
    <w:rsid w:val="003A6BB9"/>
    <w:rsid w:val="003B4151"/>
    <w:rsid w:val="003B669C"/>
    <w:rsid w:val="003B786E"/>
    <w:rsid w:val="003C6EF7"/>
    <w:rsid w:val="003D0F7B"/>
    <w:rsid w:val="003D0FE9"/>
    <w:rsid w:val="003D2BCE"/>
    <w:rsid w:val="003D4037"/>
    <w:rsid w:val="003D4529"/>
    <w:rsid w:val="003D4B46"/>
    <w:rsid w:val="003D5F48"/>
    <w:rsid w:val="003E01B3"/>
    <w:rsid w:val="003E3199"/>
    <w:rsid w:val="003E7DA0"/>
    <w:rsid w:val="003F050A"/>
    <w:rsid w:val="003F059B"/>
    <w:rsid w:val="003F50D1"/>
    <w:rsid w:val="003F5F88"/>
    <w:rsid w:val="0041273F"/>
    <w:rsid w:val="0041547A"/>
    <w:rsid w:val="0042204E"/>
    <w:rsid w:val="00426325"/>
    <w:rsid w:val="00437A33"/>
    <w:rsid w:val="004469A3"/>
    <w:rsid w:val="0045270B"/>
    <w:rsid w:val="00454C45"/>
    <w:rsid w:val="00455176"/>
    <w:rsid w:val="004624BE"/>
    <w:rsid w:val="00465A92"/>
    <w:rsid w:val="004679CE"/>
    <w:rsid w:val="00470270"/>
    <w:rsid w:val="00471CBF"/>
    <w:rsid w:val="00472046"/>
    <w:rsid w:val="0048136E"/>
    <w:rsid w:val="00485AD1"/>
    <w:rsid w:val="00486AA5"/>
    <w:rsid w:val="004932B6"/>
    <w:rsid w:val="004946E0"/>
    <w:rsid w:val="00495E6D"/>
    <w:rsid w:val="004A1602"/>
    <w:rsid w:val="004A51A8"/>
    <w:rsid w:val="004B49EE"/>
    <w:rsid w:val="004B4D89"/>
    <w:rsid w:val="004B516E"/>
    <w:rsid w:val="004C0E26"/>
    <w:rsid w:val="004C343D"/>
    <w:rsid w:val="004C5277"/>
    <w:rsid w:val="004C6632"/>
    <w:rsid w:val="004C67AE"/>
    <w:rsid w:val="004C7E44"/>
    <w:rsid w:val="004D06C0"/>
    <w:rsid w:val="004D2423"/>
    <w:rsid w:val="004D3884"/>
    <w:rsid w:val="004D5BBA"/>
    <w:rsid w:val="004D6A08"/>
    <w:rsid w:val="004D711F"/>
    <w:rsid w:val="004E0748"/>
    <w:rsid w:val="004E728E"/>
    <w:rsid w:val="004F0AAB"/>
    <w:rsid w:val="004F743F"/>
    <w:rsid w:val="004F7C1B"/>
    <w:rsid w:val="00500A8F"/>
    <w:rsid w:val="005043E9"/>
    <w:rsid w:val="005060F9"/>
    <w:rsid w:val="0051106C"/>
    <w:rsid w:val="00512BAE"/>
    <w:rsid w:val="00520C0E"/>
    <w:rsid w:val="00522EAE"/>
    <w:rsid w:val="005250F2"/>
    <w:rsid w:val="00525703"/>
    <w:rsid w:val="005260BE"/>
    <w:rsid w:val="00527573"/>
    <w:rsid w:val="005326B5"/>
    <w:rsid w:val="005339BB"/>
    <w:rsid w:val="00536F45"/>
    <w:rsid w:val="00537EE6"/>
    <w:rsid w:val="005447E3"/>
    <w:rsid w:val="00547E75"/>
    <w:rsid w:val="00555016"/>
    <w:rsid w:val="00556212"/>
    <w:rsid w:val="005606AC"/>
    <w:rsid w:val="0057138A"/>
    <w:rsid w:val="00572B6E"/>
    <w:rsid w:val="005762B0"/>
    <w:rsid w:val="00584716"/>
    <w:rsid w:val="005849E3"/>
    <w:rsid w:val="00584E4F"/>
    <w:rsid w:val="00584E6C"/>
    <w:rsid w:val="00585A15"/>
    <w:rsid w:val="005868F6"/>
    <w:rsid w:val="00586D6C"/>
    <w:rsid w:val="0058733F"/>
    <w:rsid w:val="00587D18"/>
    <w:rsid w:val="00596D1A"/>
    <w:rsid w:val="005A31F5"/>
    <w:rsid w:val="005A65C8"/>
    <w:rsid w:val="005B56BF"/>
    <w:rsid w:val="005B69C2"/>
    <w:rsid w:val="005C27A1"/>
    <w:rsid w:val="005C67D4"/>
    <w:rsid w:val="005C7CC0"/>
    <w:rsid w:val="005D0683"/>
    <w:rsid w:val="005D6F09"/>
    <w:rsid w:val="005E5A41"/>
    <w:rsid w:val="005E674A"/>
    <w:rsid w:val="005E6E17"/>
    <w:rsid w:val="005E75D0"/>
    <w:rsid w:val="005F5B46"/>
    <w:rsid w:val="005F6112"/>
    <w:rsid w:val="00601B4D"/>
    <w:rsid w:val="00606AA2"/>
    <w:rsid w:val="00606C4F"/>
    <w:rsid w:val="0061228A"/>
    <w:rsid w:val="00617A76"/>
    <w:rsid w:val="00621ED0"/>
    <w:rsid w:val="00622238"/>
    <w:rsid w:val="00624BB2"/>
    <w:rsid w:val="00632329"/>
    <w:rsid w:val="00636A3C"/>
    <w:rsid w:val="00637AD1"/>
    <w:rsid w:val="00642CD5"/>
    <w:rsid w:val="006452B3"/>
    <w:rsid w:val="0066295A"/>
    <w:rsid w:val="00663035"/>
    <w:rsid w:val="00664055"/>
    <w:rsid w:val="00666CF9"/>
    <w:rsid w:val="00667457"/>
    <w:rsid w:val="00667A61"/>
    <w:rsid w:val="00670ED6"/>
    <w:rsid w:val="006740B4"/>
    <w:rsid w:val="0067541F"/>
    <w:rsid w:val="006858D5"/>
    <w:rsid w:val="00687DBB"/>
    <w:rsid w:val="00696B1C"/>
    <w:rsid w:val="006A2B5F"/>
    <w:rsid w:val="006A32C4"/>
    <w:rsid w:val="006A72B8"/>
    <w:rsid w:val="006B576E"/>
    <w:rsid w:val="006C1F05"/>
    <w:rsid w:val="006C2070"/>
    <w:rsid w:val="006D5669"/>
    <w:rsid w:val="006D5B15"/>
    <w:rsid w:val="006D642C"/>
    <w:rsid w:val="006F038D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6663"/>
    <w:rsid w:val="007423FD"/>
    <w:rsid w:val="00760C7A"/>
    <w:rsid w:val="007619AD"/>
    <w:rsid w:val="00762330"/>
    <w:rsid w:val="007640E0"/>
    <w:rsid w:val="007652B1"/>
    <w:rsid w:val="00770616"/>
    <w:rsid w:val="00770E19"/>
    <w:rsid w:val="00772E22"/>
    <w:rsid w:val="00774257"/>
    <w:rsid w:val="00775505"/>
    <w:rsid w:val="00776AE1"/>
    <w:rsid w:val="00785C31"/>
    <w:rsid w:val="007A01B4"/>
    <w:rsid w:val="007A03BE"/>
    <w:rsid w:val="007A07E5"/>
    <w:rsid w:val="007A385D"/>
    <w:rsid w:val="007A3E79"/>
    <w:rsid w:val="007A7362"/>
    <w:rsid w:val="007B5A17"/>
    <w:rsid w:val="007B7729"/>
    <w:rsid w:val="007C2153"/>
    <w:rsid w:val="007C66DE"/>
    <w:rsid w:val="007D0768"/>
    <w:rsid w:val="007D1EED"/>
    <w:rsid w:val="007D224F"/>
    <w:rsid w:val="007D62F3"/>
    <w:rsid w:val="007E0C8A"/>
    <w:rsid w:val="007E3816"/>
    <w:rsid w:val="007F5700"/>
    <w:rsid w:val="00802548"/>
    <w:rsid w:val="00802957"/>
    <w:rsid w:val="008062A9"/>
    <w:rsid w:val="00812385"/>
    <w:rsid w:val="00814AA6"/>
    <w:rsid w:val="008153A8"/>
    <w:rsid w:val="008267EE"/>
    <w:rsid w:val="0083050D"/>
    <w:rsid w:val="00832E9B"/>
    <w:rsid w:val="008432ED"/>
    <w:rsid w:val="00843F7D"/>
    <w:rsid w:val="008450F3"/>
    <w:rsid w:val="00860046"/>
    <w:rsid w:val="00860271"/>
    <w:rsid w:val="0086227D"/>
    <w:rsid w:val="00863FEE"/>
    <w:rsid w:val="008653E0"/>
    <w:rsid w:val="008730BB"/>
    <w:rsid w:val="00881CA9"/>
    <w:rsid w:val="0088500C"/>
    <w:rsid w:val="0089014A"/>
    <w:rsid w:val="008902CF"/>
    <w:rsid w:val="008966E9"/>
    <w:rsid w:val="008B4A3B"/>
    <w:rsid w:val="008B56E5"/>
    <w:rsid w:val="008C1F77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71E7"/>
    <w:rsid w:val="00917A3B"/>
    <w:rsid w:val="0092087F"/>
    <w:rsid w:val="0092377F"/>
    <w:rsid w:val="009308D8"/>
    <w:rsid w:val="00930DF7"/>
    <w:rsid w:val="00936537"/>
    <w:rsid w:val="00936821"/>
    <w:rsid w:val="0094276A"/>
    <w:rsid w:val="00942C75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72BCD"/>
    <w:rsid w:val="0097304E"/>
    <w:rsid w:val="0097647D"/>
    <w:rsid w:val="00983752"/>
    <w:rsid w:val="00983EF6"/>
    <w:rsid w:val="00994EDE"/>
    <w:rsid w:val="009959F3"/>
    <w:rsid w:val="00995FFE"/>
    <w:rsid w:val="009A11C1"/>
    <w:rsid w:val="009A27F7"/>
    <w:rsid w:val="009A292D"/>
    <w:rsid w:val="009A4CAF"/>
    <w:rsid w:val="009A69B5"/>
    <w:rsid w:val="009B0D73"/>
    <w:rsid w:val="009B3167"/>
    <w:rsid w:val="009B5217"/>
    <w:rsid w:val="009C020C"/>
    <w:rsid w:val="009C43E2"/>
    <w:rsid w:val="009C44ED"/>
    <w:rsid w:val="009C5D67"/>
    <w:rsid w:val="009C6763"/>
    <w:rsid w:val="009C698C"/>
    <w:rsid w:val="009C7A2D"/>
    <w:rsid w:val="009C7CE4"/>
    <w:rsid w:val="009E18AF"/>
    <w:rsid w:val="009E4A3B"/>
    <w:rsid w:val="009E5D88"/>
    <w:rsid w:val="009F0653"/>
    <w:rsid w:val="009F7FCB"/>
    <w:rsid w:val="00A00B17"/>
    <w:rsid w:val="00A1042E"/>
    <w:rsid w:val="00A1794D"/>
    <w:rsid w:val="00A207E1"/>
    <w:rsid w:val="00A220C6"/>
    <w:rsid w:val="00A2358C"/>
    <w:rsid w:val="00A2663A"/>
    <w:rsid w:val="00A31C85"/>
    <w:rsid w:val="00A32C2E"/>
    <w:rsid w:val="00A33A9E"/>
    <w:rsid w:val="00A40D9F"/>
    <w:rsid w:val="00A623DF"/>
    <w:rsid w:val="00A67B5E"/>
    <w:rsid w:val="00A72336"/>
    <w:rsid w:val="00A72E16"/>
    <w:rsid w:val="00A76003"/>
    <w:rsid w:val="00A76D78"/>
    <w:rsid w:val="00A83140"/>
    <w:rsid w:val="00A843DA"/>
    <w:rsid w:val="00A84830"/>
    <w:rsid w:val="00AA2334"/>
    <w:rsid w:val="00AA4DC4"/>
    <w:rsid w:val="00AB05C6"/>
    <w:rsid w:val="00AB66D7"/>
    <w:rsid w:val="00AB694F"/>
    <w:rsid w:val="00AC32C6"/>
    <w:rsid w:val="00AD7BA1"/>
    <w:rsid w:val="00AF053E"/>
    <w:rsid w:val="00AF11BB"/>
    <w:rsid w:val="00AF5247"/>
    <w:rsid w:val="00AF78C6"/>
    <w:rsid w:val="00AF7CB4"/>
    <w:rsid w:val="00B00961"/>
    <w:rsid w:val="00B01ADE"/>
    <w:rsid w:val="00B07ED5"/>
    <w:rsid w:val="00B12237"/>
    <w:rsid w:val="00B12F3C"/>
    <w:rsid w:val="00B24FF7"/>
    <w:rsid w:val="00B2543C"/>
    <w:rsid w:val="00B26192"/>
    <w:rsid w:val="00B262CD"/>
    <w:rsid w:val="00B267B4"/>
    <w:rsid w:val="00B33C5E"/>
    <w:rsid w:val="00B40A66"/>
    <w:rsid w:val="00B50CF4"/>
    <w:rsid w:val="00B57B39"/>
    <w:rsid w:val="00B60E9C"/>
    <w:rsid w:val="00B6632A"/>
    <w:rsid w:val="00B67C18"/>
    <w:rsid w:val="00B74F9C"/>
    <w:rsid w:val="00B801E0"/>
    <w:rsid w:val="00B83422"/>
    <w:rsid w:val="00B841C1"/>
    <w:rsid w:val="00B8765A"/>
    <w:rsid w:val="00B91AB2"/>
    <w:rsid w:val="00B955B3"/>
    <w:rsid w:val="00BA15F6"/>
    <w:rsid w:val="00BA3334"/>
    <w:rsid w:val="00BB0CAA"/>
    <w:rsid w:val="00BB11A8"/>
    <w:rsid w:val="00BB2026"/>
    <w:rsid w:val="00BC3B43"/>
    <w:rsid w:val="00BC5535"/>
    <w:rsid w:val="00BD6A1A"/>
    <w:rsid w:val="00BE02A7"/>
    <w:rsid w:val="00BE2788"/>
    <w:rsid w:val="00BE6F4C"/>
    <w:rsid w:val="00BE7E70"/>
    <w:rsid w:val="00BF460C"/>
    <w:rsid w:val="00BF5F9C"/>
    <w:rsid w:val="00C02F99"/>
    <w:rsid w:val="00C03770"/>
    <w:rsid w:val="00C05D8E"/>
    <w:rsid w:val="00C06B20"/>
    <w:rsid w:val="00C06CBE"/>
    <w:rsid w:val="00C123C3"/>
    <w:rsid w:val="00C126DF"/>
    <w:rsid w:val="00C15DBB"/>
    <w:rsid w:val="00C369C9"/>
    <w:rsid w:val="00C444EA"/>
    <w:rsid w:val="00C50DF8"/>
    <w:rsid w:val="00C5114A"/>
    <w:rsid w:val="00C55BB5"/>
    <w:rsid w:val="00C64953"/>
    <w:rsid w:val="00C745E3"/>
    <w:rsid w:val="00C75C2E"/>
    <w:rsid w:val="00C766EF"/>
    <w:rsid w:val="00C773FC"/>
    <w:rsid w:val="00C807AA"/>
    <w:rsid w:val="00C80EE6"/>
    <w:rsid w:val="00C817A7"/>
    <w:rsid w:val="00C861B2"/>
    <w:rsid w:val="00CA2A8B"/>
    <w:rsid w:val="00CA65E9"/>
    <w:rsid w:val="00CB4339"/>
    <w:rsid w:val="00CB6A55"/>
    <w:rsid w:val="00CC06D4"/>
    <w:rsid w:val="00CC1890"/>
    <w:rsid w:val="00CC480B"/>
    <w:rsid w:val="00CC72C5"/>
    <w:rsid w:val="00CC7310"/>
    <w:rsid w:val="00CD332E"/>
    <w:rsid w:val="00CD41C2"/>
    <w:rsid w:val="00CE06FC"/>
    <w:rsid w:val="00CE4335"/>
    <w:rsid w:val="00D03331"/>
    <w:rsid w:val="00D073EA"/>
    <w:rsid w:val="00D12776"/>
    <w:rsid w:val="00D12D35"/>
    <w:rsid w:val="00D2092D"/>
    <w:rsid w:val="00D31AFE"/>
    <w:rsid w:val="00D332D6"/>
    <w:rsid w:val="00D346FC"/>
    <w:rsid w:val="00D35444"/>
    <w:rsid w:val="00D3691D"/>
    <w:rsid w:val="00D371C4"/>
    <w:rsid w:val="00D471D1"/>
    <w:rsid w:val="00D50E81"/>
    <w:rsid w:val="00D634D8"/>
    <w:rsid w:val="00D63C2D"/>
    <w:rsid w:val="00D651FF"/>
    <w:rsid w:val="00D71DEB"/>
    <w:rsid w:val="00D73882"/>
    <w:rsid w:val="00D80609"/>
    <w:rsid w:val="00D82BB6"/>
    <w:rsid w:val="00D96CBF"/>
    <w:rsid w:val="00DA100A"/>
    <w:rsid w:val="00DA25AD"/>
    <w:rsid w:val="00DA73E5"/>
    <w:rsid w:val="00DB0090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4653"/>
    <w:rsid w:val="00E67E38"/>
    <w:rsid w:val="00E70661"/>
    <w:rsid w:val="00E76995"/>
    <w:rsid w:val="00E80E43"/>
    <w:rsid w:val="00E8311C"/>
    <w:rsid w:val="00E87A04"/>
    <w:rsid w:val="00E922B4"/>
    <w:rsid w:val="00E94534"/>
    <w:rsid w:val="00E97970"/>
    <w:rsid w:val="00EA4003"/>
    <w:rsid w:val="00EB0151"/>
    <w:rsid w:val="00EB2B49"/>
    <w:rsid w:val="00EB7ED2"/>
    <w:rsid w:val="00EC43C8"/>
    <w:rsid w:val="00ED1806"/>
    <w:rsid w:val="00ED3F02"/>
    <w:rsid w:val="00ED457C"/>
    <w:rsid w:val="00EE0B92"/>
    <w:rsid w:val="00EE0F0E"/>
    <w:rsid w:val="00EE68D2"/>
    <w:rsid w:val="00EF14B7"/>
    <w:rsid w:val="00EF44AD"/>
    <w:rsid w:val="00F014F8"/>
    <w:rsid w:val="00F13937"/>
    <w:rsid w:val="00F17267"/>
    <w:rsid w:val="00F26819"/>
    <w:rsid w:val="00F27587"/>
    <w:rsid w:val="00F307F9"/>
    <w:rsid w:val="00F3131F"/>
    <w:rsid w:val="00F32538"/>
    <w:rsid w:val="00F34A00"/>
    <w:rsid w:val="00F34D93"/>
    <w:rsid w:val="00F62AEB"/>
    <w:rsid w:val="00F66A6D"/>
    <w:rsid w:val="00F707B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91B05"/>
    <w:rsid w:val="00F94E53"/>
    <w:rsid w:val="00F979AC"/>
    <w:rsid w:val="00FA3D48"/>
    <w:rsid w:val="00FA6353"/>
    <w:rsid w:val="00FB32DE"/>
    <w:rsid w:val="00FB7A50"/>
    <w:rsid w:val="00FC0DF5"/>
    <w:rsid w:val="00FC159C"/>
    <w:rsid w:val="00FC44B5"/>
    <w:rsid w:val="00FC6127"/>
    <w:rsid w:val="00FC7A4D"/>
    <w:rsid w:val="00FD08A0"/>
    <w:rsid w:val="00FD2E42"/>
    <w:rsid w:val="00FD4AA6"/>
    <w:rsid w:val="00FE2B9E"/>
    <w:rsid w:val="00FE6123"/>
    <w:rsid w:val="00FE6555"/>
    <w:rsid w:val="00FE7D6A"/>
    <w:rsid w:val="00FF51E1"/>
    <w:rsid w:val="2B0E7935"/>
    <w:rsid w:val="2C4332E4"/>
    <w:rsid w:val="2FB04D74"/>
    <w:rsid w:val="44D80AB4"/>
    <w:rsid w:val="4BE2400E"/>
    <w:rsid w:val="57C457AF"/>
    <w:rsid w:val="76D9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43E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43E2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rsid w:val="009C43E2"/>
    <w:rPr>
      <w:b/>
      <w:bCs/>
    </w:rPr>
  </w:style>
  <w:style w:type="paragraph" w:styleId="a4">
    <w:name w:val="annotation text"/>
    <w:basedOn w:val="a"/>
    <w:link w:val="Char0"/>
    <w:rsid w:val="009C43E2"/>
    <w:pPr>
      <w:jc w:val="left"/>
    </w:pPr>
  </w:style>
  <w:style w:type="paragraph" w:styleId="a5">
    <w:name w:val="Body Text Indent"/>
    <w:basedOn w:val="a"/>
    <w:rsid w:val="009C43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43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rsid w:val="009C43E2"/>
    <w:rPr>
      <w:sz w:val="18"/>
      <w:szCs w:val="18"/>
    </w:rPr>
  </w:style>
  <w:style w:type="paragraph" w:styleId="a7">
    <w:name w:val="footer"/>
    <w:basedOn w:val="a"/>
    <w:qFormat/>
    <w:rsid w:val="009C4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rsid w:val="009C4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qFormat/>
    <w:rsid w:val="009C43E2"/>
    <w:rPr>
      <w:b/>
      <w:bCs/>
    </w:rPr>
  </w:style>
  <w:style w:type="character" w:styleId="aa">
    <w:name w:val="Hyperlink"/>
    <w:qFormat/>
    <w:rsid w:val="009C43E2"/>
    <w:rPr>
      <w:color w:val="0068B7"/>
      <w:u w:val="none"/>
    </w:rPr>
  </w:style>
  <w:style w:type="character" w:styleId="ab">
    <w:name w:val="annotation reference"/>
    <w:basedOn w:val="a0"/>
    <w:qFormat/>
    <w:rsid w:val="009C43E2"/>
    <w:rPr>
      <w:sz w:val="21"/>
      <w:szCs w:val="21"/>
    </w:rPr>
  </w:style>
  <w:style w:type="table" w:styleId="ac">
    <w:name w:val="Table Grid"/>
    <w:basedOn w:val="a1"/>
    <w:rsid w:val="009C43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1">
    <w:name w:val="141"/>
    <w:qFormat/>
    <w:rsid w:val="009C43E2"/>
    <w:rPr>
      <w:sz w:val="21"/>
      <w:szCs w:val="21"/>
    </w:rPr>
  </w:style>
  <w:style w:type="character" w:customStyle="1" w:styleId="ztagpre">
    <w:name w:val="ztag pre"/>
    <w:basedOn w:val="a0"/>
    <w:rsid w:val="009C43E2"/>
  </w:style>
  <w:style w:type="character" w:customStyle="1" w:styleId="1">
    <w:name w:val="已访问的超链接1"/>
    <w:qFormat/>
    <w:rsid w:val="009C43E2"/>
    <w:rPr>
      <w:color w:val="800080"/>
      <w:u w:val="single"/>
    </w:rPr>
  </w:style>
  <w:style w:type="paragraph" w:customStyle="1" w:styleId="10">
    <w:name w:val="列出段落1"/>
    <w:basedOn w:val="a"/>
    <w:uiPriority w:val="34"/>
    <w:qFormat/>
    <w:rsid w:val="009C43E2"/>
    <w:pPr>
      <w:ind w:firstLineChars="200" w:firstLine="420"/>
    </w:pPr>
  </w:style>
  <w:style w:type="character" w:customStyle="1" w:styleId="Char0">
    <w:name w:val="批注文字 Char"/>
    <w:basedOn w:val="a0"/>
    <w:link w:val="a4"/>
    <w:qFormat/>
    <w:rsid w:val="009C43E2"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qFormat/>
    <w:rsid w:val="009C43E2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227</Words>
  <Characters>1300</Characters>
  <Application>Microsoft Office Word</Application>
  <DocSecurity>0</DocSecurity>
  <Lines>10</Lines>
  <Paragraphs>3</Paragraphs>
  <ScaleCrop>false</ScaleCrop>
  <Company>Microsoft</Company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34</cp:revision>
  <cp:lastPrinted>2011-12-16T08:54:00Z</cp:lastPrinted>
  <dcterms:created xsi:type="dcterms:W3CDTF">2017-05-04T07:22:00Z</dcterms:created>
  <dcterms:modified xsi:type="dcterms:W3CDTF">2018-01-04T06:27:00Z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